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66E4">
      <w:pPr>
        <w:snapToGrid w:val="0"/>
        <w:spacing w:before="312" w:beforeLines="100" w:after="312" w:afterLines="100"/>
        <w:jc w:val="center"/>
        <w:rPr>
          <w:rFonts w:hint="eastAsia" w:ascii="仿宋_GB2312" w:hAnsi="仿宋_GB2312" w:eastAsia="仿宋_GB2312" w:cs="仿宋_GB2312"/>
          <w:b/>
          <w:color w:val="auto"/>
          <w:sz w:val="44"/>
          <w:szCs w:val="44"/>
          <w:lang w:val="en-US" w:eastAsia="zh-CN"/>
        </w:rPr>
      </w:pPr>
      <w:bookmarkStart w:id="0" w:name="_Toc13354"/>
      <w:bookmarkStart w:id="1" w:name="_Toc15186"/>
      <w:bookmarkStart w:id="2" w:name="_Toc152042286"/>
      <w:bookmarkStart w:id="3" w:name="_Toc2656"/>
      <w:bookmarkStart w:id="4" w:name="_Toc144974478"/>
      <w:bookmarkStart w:id="5" w:name="_Toc238797531"/>
      <w:bookmarkStart w:id="6" w:name="_Toc14780"/>
      <w:bookmarkStart w:id="7" w:name="_Toc440314990"/>
      <w:bookmarkStart w:id="8" w:name="_Toc238552176"/>
      <w:bookmarkStart w:id="9" w:name="_Toc440315385"/>
      <w:bookmarkStart w:id="10" w:name="_Toc381397062"/>
      <w:bookmarkStart w:id="11" w:name="_Toc440899093"/>
      <w:bookmarkStart w:id="12" w:name="_Toc152042287"/>
      <w:bookmarkStart w:id="13" w:name="_Toc144974479"/>
      <w:bookmarkStart w:id="14" w:name="_Toc152045511"/>
      <w:bookmarkStart w:id="15" w:name="_Toc7696"/>
      <w:r>
        <w:rPr>
          <w:rFonts w:hint="eastAsia" w:ascii="仿宋_GB2312" w:hAnsi="仿宋_GB2312" w:eastAsia="仿宋_GB2312" w:cs="仿宋_GB2312"/>
          <w:b/>
          <w:color w:val="auto"/>
          <w:sz w:val="44"/>
          <w:szCs w:val="44"/>
          <w:lang w:val="en-US" w:eastAsia="zh-CN"/>
        </w:rPr>
        <w:t>稻城县天文考古科技集群波瓦山科技观测基地公路工程TJ标段</w:t>
      </w:r>
      <w:r>
        <w:rPr>
          <w:rFonts w:hint="eastAsia" w:ascii="仿宋_GB2312" w:hAnsi="仿宋_GB2312" w:eastAsia="仿宋_GB2312" w:cs="仿宋_GB2312"/>
          <w:b/>
          <w:color w:val="auto"/>
          <w:sz w:val="44"/>
          <w:szCs w:val="44"/>
          <w:lang w:eastAsia="zh-CN"/>
        </w:rPr>
        <w:t>项目</w:t>
      </w:r>
      <w:r>
        <w:rPr>
          <w:rFonts w:hint="eastAsia" w:ascii="仿宋_GB2312" w:hAnsi="仿宋_GB2312" w:eastAsia="仿宋_GB2312" w:cs="仿宋_GB2312"/>
          <w:b/>
          <w:color w:val="auto"/>
          <w:sz w:val="44"/>
          <w:szCs w:val="44"/>
          <w:lang w:val="en-US" w:eastAsia="zh-CN"/>
        </w:rPr>
        <w:t>水泥</w:t>
      </w:r>
      <w:r>
        <w:rPr>
          <w:rFonts w:hint="eastAsia" w:ascii="仿宋_GB2312" w:hAnsi="仿宋_GB2312" w:eastAsia="仿宋_GB2312" w:cs="仿宋_GB2312"/>
          <w:b/>
          <w:color w:val="auto"/>
          <w:sz w:val="44"/>
          <w:szCs w:val="44"/>
        </w:rPr>
        <w:t>物资招标</w:t>
      </w:r>
      <w:r>
        <w:rPr>
          <w:rFonts w:hint="eastAsia" w:ascii="仿宋_GB2312" w:hAnsi="仿宋_GB2312" w:eastAsia="仿宋_GB2312" w:cs="仿宋_GB2312"/>
          <w:b/>
          <w:color w:val="auto"/>
          <w:sz w:val="44"/>
          <w:szCs w:val="44"/>
          <w:lang w:val="en-US" w:eastAsia="zh-CN"/>
        </w:rPr>
        <w:t>采购</w:t>
      </w:r>
    </w:p>
    <w:p w14:paraId="61C0DD26">
      <w:pPr>
        <w:snapToGrid w:val="0"/>
        <w:spacing w:before="936" w:beforeLines="300" w:after="312" w:afterLines="100"/>
        <w:jc w:val="center"/>
        <w:rPr>
          <w:rFonts w:hint="default" w:ascii="仿宋_GB2312" w:hAnsi="仿宋_GB2312" w:eastAsia="仿宋_GB2312" w:cs="仿宋_GB2312"/>
          <w:color w:val="auto"/>
          <w:sz w:val="42"/>
          <w:szCs w:val="42"/>
          <w:lang w:val="en-US" w:eastAsia="zh-CN"/>
        </w:rPr>
      </w:pPr>
      <w:r>
        <w:rPr>
          <w:rFonts w:hint="eastAsia" w:ascii="仿宋_GB2312" w:hAnsi="仿宋_GB2312" w:eastAsia="仿宋_GB2312" w:cs="仿宋_GB2312"/>
          <w:color w:val="auto"/>
          <w:sz w:val="42"/>
          <w:szCs w:val="42"/>
        </w:rPr>
        <w:t>招标编号：</w:t>
      </w:r>
      <w:r>
        <w:rPr>
          <w:rFonts w:hint="eastAsia" w:ascii="仿宋_GB2312" w:hAnsi="仿宋_GB2312" w:eastAsia="仿宋_GB2312" w:cs="仿宋_GB2312"/>
          <w:color w:val="auto"/>
          <w:sz w:val="42"/>
          <w:szCs w:val="42"/>
          <w:lang w:eastAsia="zh-CN"/>
        </w:rPr>
        <w:t>GYL/CG/2025/00</w:t>
      </w:r>
      <w:r>
        <w:rPr>
          <w:rFonts w:hint="eastAsia" w:ascii="仿宋_GB2312" w:hAnsi="仿宋_GB2312" w:eastAsia="仿宋_GB2312" w:cs="仿宋_GB2312"/>
          <w:color w:val="auto"/>
          <w:sz w:val="42"/>
          <w:szCs w:val="42"/>
          <w:lang w:val="en-US" w:eastAsia="zh-CN"/>
        </w:rPr>
        <w:t>6</w:t>
      </w:r>
    </w:p>
    <w:p w14:paraId="6AD16B0A">
      <w:pPr>
        <w:rPr>
          <w:rFonts w:hint="eastAsia" w:ascii="仿宋_GB2312" w:hAnsi="仿宋_GB2312" w:eastAsia="仿宋_GB2312" w:cs="仿宋_GB2312"/>
          <w:b/>
          <w:color w:val="auto"/>
          <w:sz w:val="27"/>
          <w:szCs w:val="27"/>
        </w:rPr>
      </w:pPr>
    </w:p>
    <w:p w14:paraId="14CEE94B">
      <w:pPr>
        <w:jc w:val="center"/>
        <w:rPr>
          <w:rFonts w:hint="eastAsia" w:ascii="仿宋_GB2312" w:hAnsi="仿宋_GB2312" w:eastAsia="仿宋_GB2312" w:cs="仿宋_GB2312"/>
          <w:b/>
          <w:color w:val="auto"/>
          <w:sz w:val="27"/>
          <w:szCs w:val="27"/>
          <w:lang w:eastAsia="zh-CN"/>
        </w:rPr>
      </w:pPr>
      <w:r>
        <w:rPr>
          <w:rFonts w:hint="eastAsia" w:ascii="仿宋_GB2312" w:hAnsi="仿宋_GB2312" w:eastAsia="仿宋_GB2312" w:cs="仿宋_GB2312"/>
          <w:b/>
          <w:color w:val="auto"/>
          <w:sz w:val="84"/>
          <w:szCs w:val="84"/>
        </w:rPr>
        <w:t>招标</w:t>
      </w:r>
      <w:r>
        <w:rPr>
          <w:rFonts w:hint="eastAsia" w:ascii="仿宋_GB2312" w:hAnsi="仿宋_GB2312" w:eastAsia="仿宋_GB2312" w:cs="仿宋_GB2312"/>
          <w:b/>
          <w:color w:val="auto"/>
          <w:sz w:val="84"/>
          <w:szCs w:val="84"/>
          <w:lang w:val="en-US" w:eastAsia="zh-CN"/>
        </w:rPr>
        <w:t>公告</w:t>
      </w:r>
    </w:p>
    <w:p w14:paraId="327B3DB1">
      <w:pPr>
        <w:spacing w:line="400" w:lineRule="exact"/>
        <w:rPr>
          <w:rFonts w:hint="eastAsia" w:ascii="仿宋_GB2312" w:hAnsi="仿宋_GB2312" w:eastAsia="仿宋_GB2312" w:cs="仿宋_GB2312"/>
          <w:color w:val="auto"/>
          <w:sz w:val="20"/>
          <w:szCs w:val="20"/>
        </w:rPr>
      </w:pPr>
    </w:p>
    <w:p w14:paraId="1D75011E">
      <w:pPr>
        <w:spacing w:line="400" w:lineRule="exact"/>
        <w:rPr>
          <w:rFonts w:hint="eastAsia" w:ascii="仿宋_GB2312" w:hAnsi="仿宋_GB2312" w:eastAsia="仿宋_GB2312" w:cs="仿宋_GB2312"/>
          <w:color w:val="auto"/>
          <w:sz w:val="20"/>
          <w:szCs w:val="20"/>
        </w:rPr>
      </w:pPr>
    </w:p>
    <w:p w14:paraId="58476408">
      <w:pPr>
        <w:spacing w:line="400" w:lineRule="exact"/>
        <w:rPr>
          <w:rFonts w:hint="eastAsia" w:ascii="仿宋_GB2312" w:hAnsi="仿宋_GB2312" w:eastAsia="仿宋_GB2312" w:cs="仿宋_GB2312"/>
          <w:b/>
          <w:color w:val="auto"/>
          <w:sz w:val="31"/>
          <w:szCs w:val="31"/>
        </w:rPr>
      </w:pPr>
    </w:p>
    <w:p w14:paraId="530FBDE5">
      <w:pPr>
        <w:spacing w:before="156" w:beforeLines="50" w:after="312" w:afterLines="100" w:line="600" w:lineRule="exact"/>
        <w:jc w:val="center"/>
        <w:rPr>
          <w:rFonts w:hint="eastAsia" w:ascii="仿宋_GB2312" w:hAnsi="仿宋_GB2312" w:eastAsia="仿宋_GB2312" w:cs="仿宋_GB2312"/>
          <w:color w:val="auto"/>
          <w:sz w:val="29"/>
          <w:szCs w:val="29"/>
        </w:rPr>
      </w:pPr>
    </w:p>
    <w:p w14:paraId="1F713E69">
      <w:pPr>
        <w:spacing w:before="156" w:beforeLines="50" w:after="312" w:afterLines="100" w:line="600" w:lineRule="exact"/>
        <w:jc w:val="center"/>
        <w:rPr>
          <w:rFonts w:hint="eastAsia" w:ascii="仿宋_GB2312" w:hAnsi="仿宋_GB2312" w:eastAsia="仿宋_GB2312" w:cs="仿宋_GB2312"/>
          <w:color w:val="auto"/>
          <w:sz w:val="29"/>
          <w:szCs w:val="29"/>
        </w:rPr>
      </w:pPr>
    </w:p>
    <w:p w14:paraId="354BDCCB">
      <w:pPr>
        <w:spacing w:before="156" w:beforeLines="50" w:after="312" w:afterLines="100" w:line="600" w:lineRule="exact"/>
        <w:jc w:val="center"/>
        <w:rPr>
          <w:rFonts w:hint="eastAsia" w:ascii="仿宋_GB2312" w:hAnsi="仿宋_GB2312" w:eastAsia="仿宋_GB2312" w:cs="仿宋_GB2312"/>
          <w:color w:val="auto"/>
          <w:sz w:val="29"/>
          <w:szCs w:val="29"/>
          <w:highlight w:val="none"/>
          <w:lang w:eastAsia="zh-CN"/>
        </w:rPr>
      </w:pPr>
      <w:r>
        <w:rPr>
          <w:rFonts w:hint="eastAsia" w:ascii="仿宋_GB2312" w:hAnsi="仿宋_GB2312" w:eastAsia="仿宋_GB2312" w:cs="仿宋_GB2312"/>
          <w:color w:val="auto"/>
          <w:sz w:val="29"/>
          <w:szCs w:val="29"/>
        </w:rPr>
        <w:t>招标人：</w:t>
      </w:r>
      <w:r>
        <w:rPr>
          <w:rFonts w:hint="eastAsia" w:ascii="仿宋_GB2312" w:hAnsi="仿宋_GB2312" w:eastAsia="仿宋_GB2312" w:cs="仿宋_GB2312"/>
          <w:color w:val="auto"/>
          <w:sz w:val="29"/>
          <w:szCs w:val="29"/>
          <w:highlight w:val="none"/>
          <w:lang w:eastAsia="zh-CN"/>
        </w:rPr>
        <w:t>甘孜州天路供应链管理有限公司</w:t>
      </w:r>
    </w:p>
    <w:p w14:paraId="67BFF7BB">
      <w:pPr>
        <w:spacing w:before="312" w:beforeLines="100" w:after="156" w:afterLines="50" w:line="600" w:lineRule="exact"/>
        <w:jc w:val="center"/>
        <w:rPr>
          <w:rFonts w:hint="eastAsia" w:ascii="仿宋_GB2312" w:hAnsi="仿宋_GB2312" w:eastAsia="仿宋_GB2312" w:cs="仿宋_GB2312"/>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134" w:right="1191" w:bottom="1134" w:left="1474" w:header="851" w:footer="1134" w:gutter="0"/>
          <w:pgNumType w:fmt="decimal" w:start="1"/>
          <w:cols w:space="720" w:num="1"/>
          <w:docGrid w:type="linesAndChars" w:linePitch="312" w:charSpace="0"/>
        </w:sectPr>
      </w:pPr>
      <w:r>
        <w:rPr>
          <w:rFonts w:hint="eastAsia" w:ascii="仿宋_GB2312" w:hAnsi="仿宋_GB2312" w:eastAsia="仿宋_GB2312" w:cs="仿宋_GB2312"/>
          <w:color w:val="auto"/>
          <w:sz w:val="35"/>
          <w:szCs w:val="35"/>
        </w:rPr>
        <w:t>二0二</w:t>
      </w:r>
      <w:r>
        <w:rPr>
          <w:rFonts w:hint="eastAsia" w:ascii="仿宋_GB2312" w:hAnsi="仿宋_GB2312" w:eastAsia="仿宋_GB2312" w:cs="仿宋_GB2312"/>
          <w:color w:val="auto"/>
          <w:sz w:val="35"/>
          <w:szCs w:val="35"/>
          <w:lang w:val="en-US" w:eastAsia="zh-CN"/>
        </w:rPr>
        <w:t>五</w:t>
      </w:r>
      <w:r>
        <w:rPr>
          <w:rFonts w:hint="eastAsia" w:ascii="仿宋_GB2312" w:hAnsi="仿宋_GB2312" w:eastAsia="仿宋_GB2312" w:cs="仿宋_GB2312"/>
          <w:color w:val="auto"/>
          <w:sz w:val="35"/>
          <w:szCs w:val="35"/>
        </w:rPr>
        <w:t>年</w:t>
      </w:r>
      <w:r>
        <w:rPr>
          <w:rFonts w:hint="eastAsia" w:ascii="仿宋_GB2312" w:hAnsi="仿宋_GB2312" w:eastAsia="仿宋_GB2312" w:cs="仿宋_GB2312"/>
          <w:color w:val="auto"/>
          <w:sz w:val="35"/>
          <w:szCs w:val="35"/>
          <w:lang w:val="en-US" w:eastAsia="zh-CN"/>
        </w:rPr>
        <w:t>九</w:t>
      </w:r>
      <w:r>
        <w:rPr>
          <w:rFonts w:hint="eastAsia" w:ascii="仿宋_GB2312" w:hAnsi="仿宋_GB2312" w:eastAsia="仿宋_GB2312" w:cs="仿宋_GB2312"/>
          <w:color w:val="auto"/>
          <w:sz w:val="35"/>
          <w:szCs w:val="35"/>
        </w:rPr>
        <w:t>月</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E25CFD9">
      <w:pPr>
        <w:numPr>
          <w:ilvl w:val="0"/>
          <w:numId w:val="0"/>
        </w:numPr>
        <w:rPr>
          <w:rFonts w:hint="eastAsia" w:ascii="仿宋_GB2312" w:hAnsi="仿宋_GB2312" w:eastAsia="仿宋_GB2312" w:cs="仿宋_GB2312"/>
        </w:rPr>
      </w:pPr>
    </w:p>
    <w:p w14:paraId="3E86381B">
      <w:pPr>
        <w:jc w:val="center"/>
        <w:rPr>
          <w:rFonts w:hint="eastAsia" w:ascii="仿宋_GB2312" w:hAnsi="仿宋_GB2312" w:eastAsia="仿宋_GB2312" w:cs="仿宋_GB2312"/>
          <w:b/>
          <w:sz w:val="31"/>
          <w:szCs w:val="31"/>
          <w:lang w:eastAsia="zh-CN"/>
        </w:rPr>
      </w:pPr>
      <w:r>
        <w:rPr>
          <w:rFonts w:hint="eastAsia" w:ascii="仿宋_GB2312" w:hAnsi="仿宋_GB2312" w:eastAsia="仿宋_GB2312" w:cs="仿宋_GB2312"/>
          <w:b/>
          <w:sz w:val="31"/>
          <w:szCs w:val="31"/>
          <w:lang w:val="en-US" w:eastAsia="zh-CN"/>
        </w:rPr>
        <w:t>稻城县天文考古科技集群波瓦山科技观测基地公路工程TJ标段</w:t>
      </w:r>
      <w:r>
        <w:rPr>
          <w:rFonts w:hint="eastAsia" w:ascii="仿宋_GB2312" w:hAnsi="仿宋_GB2312" w:eastAsia="仿宋_GB2312" w:cs="仿宋_GB2312"/>
          <w:b/>
          <w:sz w:val="31"/>
          <w:szCs w:val="31"/>
          <w:lang w:eastAsia="zh-CN"/>
        </w:rPr>
        <w:t>项目水泥物资</w:t>
      </w:r>
      <w:r>
        <w:rPr>
          <w:rFonts w:hint="eastAsia" w:ascii="仿宋_GB2312" w:hAnsi="仿宋_GB2312" w:eastAsia="仿宋_GB2312" w:cs="仿宋_GB2312"/>
          <w:b/>
          <w:sz w:val="31"/>
          <w:szCs w:val="31"/>
          <w:lang w:val="en-US" w:eastAsia="zh-CN"/>
        </w:rPr>
        <w:t>公开</w:t>
      </w:r>
      <w:r>
        <w:rPr>
          <w:rFonts w:hint="eastAsia" w:ascii="仿宋_GB2312" w:hAnsi="仿宋_GB2312" w:eastAsia="仿宋_GB2312" w:cs="仿宋_GB2312"/>
          <w:b/>
          <w:sz w:val="31"/>
          <w:szCs w:val="31"/>
          <w:lang w:eastAsia="zh-CN"/>
        </w:rPr>
        <w:t>招标</w:t>
      </w:r>
      <w:r>
        <w:rPr>
          <w:rFonts w:hint="eastAsia" w:ascii="仿宋_GB2312" w:hAnsi="仿宋_GB2312" w:eastAsia="仿宋_GB2312" w:cs="仿宋_GB2312"/>
          <w:b/>
          <w:sz w:val="31"/>
          <w:szCs w:val="31"/>
          <w:lang w:val="en-US" w:eastAsia="zh-CN"/>
        </w:rPr>
        <w:t>采购</w:t>
      </w:r>
      <w:r>
        <w:rPr>
          <w:rFonts w:hint="eastAsia" w:ascii="仿宋_GB2312" w:hAnsi="仿宋_GB2312" w:eastAsia="仿宋_GB2312" w:cs="仿宋_GB2312"/>
          <w:b/>
          <w:sz w:val="31"/>
          <w:szCs w:val="31"/>
          <w:lang w:eastAsia="zh-CN"/>
        </w:rPr>
        <w:t>公告</w:t>
      </w:r>
    </w:p>
    <w:p w14:paraId="37D6D626">
      <w:pPr>
        <w:jc w:val="center"/>
        <w:rPr>
          <w:rFonts w:hint="eastAsia" w:ascii="仿宋_GB2312" w:hAnsi="仿宋_GB2312" w:eastAsia="仿宋_GB2312" w:cs="仿宋_GB2312"/>
          <w:b/>
          <w:sz w:val="29"/>
          <w:szCs w:val="29"/>
          <w:lang w:eastAsia="zh-CN"/>
        </w:rPr>
      </w:pPr>
      <w:r>
        <w:rPr>
          <w:rFonts w:hint="eastAsia" w:ascii="仿宋_GB2312" w:hAnsi="仿宋_GB2312" w:eastAsia="仿宋_GB2312" w:cs="仿宋_GB2312"/>
          <w:b/>
          <w:sz w:val="29"/>
          <w:szCs w:val="29"/>
        </w:rPr>
        <w:t>招标编号：</w:t>
      </w:r>
      <w:r>
        <w:rPr>
          <w:rFonts w:hint="eastAsia" w:ascii="仿宋_GB2312" w:hAnsi="仿宋_GB2312" w:eastAsia="仿宋_GB2312" w:cs="仿宋_GB2312"/>
          <w:b/>
          <w:sz w:val="29"/>
          <w:szCs w:val="29"/>
          <w:lang w:eastAsia="zh-CN"/>
        </w:rPr>
        <w:t>GYL/</w:t>
      </w:r>
      <w:r>
        <w:rPr>
          <w:rFonts w:hint="eastAsia" w:ascii="仿宋_GB2312" w:hAnsi="仿宋_GB2312" w:eastAsia="仿宋_GB2312" w:cs="仿宋_GB2312"/>
          <w:b/>
          <w:sz w:val="29"/>
          <w:szCs w:val="29"/>
          <w:lang w:val="en-US" w:eastAsia="zh-CN"/>
        </w:rPr>
        <w:t>CG</w:t>
      </w:r>
      <w:r>
        <w:rPr>
          <w:rFonts w:hint="eastAsia" w:ascii="仿宋_GB2312" w:hAnsi="仿宋_GB2312" w:eastAsia="仿宋_GB2312" w:cs="仿宋_GB2312"/>
          <w:b/>
          <w:sz w:val="29"/>
          <w:szCs w:val="29"/>
          <w:lang w:eastAsia="zh-CN"/>
        </w:rPr>
        <w:t>/202</w:t>
      </w:r>
      <w:r>
        <w:rPr>
          <w:rFonts w:hint="eastAsia" w:ascii="仿宋_GB2312" w:hAnsi="仿宋_GB2312" w:eastAsia="仿宋_GB2312" w:cs="仿宋_GB2312"/>
          <w:b/>
          <w:sz w:val="29"/>
          <w:szCs w:val="29"/>
          <w:lang w:val="en-US" w:eastAsia="zh-CN"/>
        </w:rPr>
        <w:t>5</w:t>
      </w:r>
      <w:r>
        <w:rPr>
          <w:rFonts w:hint="eastAsia" w:ascii="仿宋_GB2312" w:hAnsi="仿宋_GB2312" w:eastAsia="仿宋_GB2312" w:cs="仿宋_GB2312"/>
          <w:b/>
          <w:sz w:val="29"/>
          <w:szCs w:val="29"/>
          <w:lang w:eastAsia="zh-CN"/>
        </w:rPr>
        <w:t>/006</w:t>
      </w:r>
    </w:p>
    <w:p w14:paraId="00ABC1A2">
      <w:pPr>
        <w:spacing w:line="400" w:lineRule="exact"/>
        <w:rPr>
          <w:rFonts w:hint="eastAsia" w:ascii="仿宋_GB2312" w:hAnsi="仿宋_GB2312" w:eastAsia="仿宋_GB2312" w:cs="仿宋_GB2312"/>
          <w:sz w:val="20"/>
          <w:szCs w:val="20"/>
        </w:rPr>
      </w:pPr>
    </w:p>
    <w:p w14:paraId="51D67A2B">
      <w:pPr>
        <w:pStyle w:val="14"/>
        <w:spacing w:line="360" w:lineRule="auto"/>
        <w:rPr>
          <w:rFonts w:hint="eastAsia" w:ascii="仿宋_GB2312" w:hAnsi="仿宋_GB2312" w:eastAsia="仿宋_GB2312" w:cs="仿宋_GB2312"/>
          <w:b/>
          <w:color w:val="auto"/>
        </w:rPr>
      </w:pPr>
      <w:bookmarkStart w:id="16" w:name="_Toc440314992"/>
      <w:bookmarkStart w:id="17" w:name="_Toc440899095"/>
      <w:bookmarkStart w:id="18" w:name="_Toc440315387"/>
      <w:bookmarkStart w:id="19" w:name="_Toc4918"/>
      <w:bookmarkStart w:id="20" w:name="_Toc3942"/>
      <w:bookmarkStart w:id="21" w:name="_Toc30285"/>
      <w:bookmarkStart w:id="22" w:name="_Toc27734"/>
      <w:r>
        <w:rPr>
          <w:rFonts w:hint="eastAsia" w:ascii="仿宋_GB2312" w:hAnsi="仿宋_GB2312" w:eastAsia="仿宋_GB2312" w:cs="仿宋_GB2312"/>
          <w:b/>
          <w:color w:val="auto"/>
          <w:lang w:val="en-US" w:eastAsia="zh-CN"/>
        </w:rPr>
        <w:t>1</w:t>
      </w:r>
      <w:r>
        <w:rPr>
          <w:rFonts w:hint="eastAsia" w:ascii="仿宋_GB2312" w:hAnsi="仿宋_GB2312" w:eastAsia="仿宋_GB2312" w:cs="仿宋_GB2312"/>
          <w:b/>
          <w:color w:val="auto"/>
        </w:rPr>
        <w:t>.项目概况与招标内容</w:t>
      </w:r>
      <w:bookmarkEnd w:id="16"/>
      <w:bookmarkEnd w:id="17"/>
      <w:bookmarkEnd w:id="18"/>
      <w:bookmarkEnd w:id="19"/>
      <w:bookmarkEnd w:id="20"/>
      <w:bookmarkEnd w:id="21"/>
      <w:bookmarkEnd w:id="22"/>
    </w:p>
    <w:p w14:paraId="003B813A">
      <w:pPr>
        <w:pStyle w:val="6"/>
        <w:spacing w:before="74" w:line="360" w:lineRule="auto"/>
        <w:ind w:firstLine="400" w:firstLineChars="200"/>
        <w:jc w:val="left"/>
        <w:rPr>
          <w:rFonts w:hint="eastAsia" w:ascii="宋体" w:hAnsi="宋体" w:eastAsia="宋体" w:cs="宋体"/>
          <w:b w:val="0"/>
          <w:bCs w:val="0"/>
          <w:i w:val="0"/>
          <w:iCs w:val="0"/>
          <w:sz w:val="21"/>
          <w:szCs w:val="21"/>
          <w:u w:val="none" w:color="auto"/>
          <w:lang w:val="en-US" w:eastAsia="zh-CN" w:bidi="ar-SA"/>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.1项目概况：</w:t>
      </w:r>
      <w:r>
        <w:rPr>
          <w:rFonts w:hint="eastAsia" w:ascii="宋体" w:hAnsi="宋体" w:eastAsia="宋体" w:cs="宋体"/>
          <w:b w:val="0"/>
          <w:bCs w:val="0"/>
          <w:i w:val="0"/>
          <w:iCs w:val="0"/>
          <w:sz w:val="21"/>
          <w:szCs w:val="21"/>
          <w:u w:val="none" w:color="auto"/>
          <w:lang w:val="en-US" w:eastAsia="zh-CN" w:bidi="ar-SA"/>
        </w:rPr>
        <w:t>稻城县天文考古科技集群波瓦山科技观测基地公路工程项目起点位于稻城县噶通镇打绒纳格村，与G227线平面交叉，经波瓦山天文科技观测基地，止于寒洪村，与S567线平面交叉，路线全长13.3公里。全线采用三级公路标准，设计速度30km/h，路基宽度7.5m，行车道宽度2×3.25m，土路肩宽度2×0.5m，路面为沥青混凝土路面，局部困难路段适当降低技术指标。</w:t>
      </w:r>
    </w:p>
    <w:p w14:paraId="6903E837">
      <w:pPr>
        <w:tabs>
          <w:tab w:val="left" w:pos="0"/>
        </w:tabs>
        <w:adjustRightInd w:val="0"/>
        <w:snapToGrid w:val="0"/>
        <w:spacing w:line="440" w:lineRule="exact"/>
        <w:ind w:firstLine="44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.2招标内容：见附表1。</w:t>
      </w:r>
    </w:p>
    <w:p w14:paraId="1F59A22B">
      <w:pPr>
        <w:pStyle w:val="14"/>
        <w:spacing w:line="360" w:lineRule="auto"/>
        <w:rPr>
          <w:rFonts w:hint="eastAsia" w:ascii="仿宋_GB2312" w:hAnsi="仿宋_GB2312" w:eastAsia="仿宋_GB2312" w:cs="仿宋_GB2312"/>
          <w:b/>
          <w:color w:val="auto"/>
        </w:rPr>
      </w:pPr>
      <w:bookmarkStart w:id="23" w:name="_Toc28845"/>
      <w:bookmarkStart w:id="24" w:name="_Toc14283"/>
      <w:bookmarkStart w:id="25" w:name="_Toc440899096"/>
      <w:bookmarkStart w:id="26" w:name="_Toc440314993"/>
      <w:bookmarkStart w:id="27" w:name="_Toc23489"/>
      <w:bookmarkStart w:id="28" w:name="_Toc15922"/>
      <w:bookmarkStart w:id="29" w:name="_Toc440315388"/>
      <w:r>
        <w:rPr>
          <w:rFonts w:hint="eastAsia" w:ascii="仿宋_GB2312" w:hAnsi="仿宋_GB2312" w:eastAsia="仿宋_GB2312" w:cs="仿宋_GB2312"/>
          <w:b/>
          <w:color w:val="auto"/>
          <w:lang w:val="en-US" w:eastAsia="zh-CN"/>
        </w:rPr>
        <w:t>2</w:t>
      </w:r>
      <w:r>
        <w:rPr>
          <w:rFonts w:hint="eastAsia" w:ascii="仿宋_GB2312" w:hAnsi="仿宋_GB2312" w:eastAsia="仿宋_GB2312" w:cs="仿宋_GB2312"/>
          <w:b/>
          <w:color w:val="auto"/>
        </w:rPr>
        <w:t>.投标人资格条件</w:t>
      </w:r>
      <w:bookmarkEnd w:id="23"/>
      <w:bookmarkEnd w:id="24"/>
      <w:bookmarkEnd w:id="25"/>
      <w:bookmarkEnd w:id="26"/>
      <w:bookmarkEnd w:id="27"/>
      <w:bookmarkEnd w:id="28"/>
      <w:bookmarkEnd w:id="29"/>
    </w:p>
    <w:p w14:paraId="17679597">
      <w:pPr>
        <w:ind w:firstLine="22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见</w:t>
      </w:r>
      <w:r>
        <w:rPr>
          <w:rFonts w:hint="eastAsia" w:ascii="仿宋_GB2312" w:hAnsi="仿宋_GB2312" w:eastAsia="仿宋_GB2312" w:cs="仿宋_GB2312"/>
          <w:color w:val="000000"/>
          <w:sz w:val="24"/>
          <w:szCs w:val="24"/>
        </w:rPr>
        <w:t>附表1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szCs w:val="21"/>
        </w:rPr>
        <w:t>招标物资清单中投标人资格条件。</w:t>
      </w:r>
    </w:p>
    <w:p w14:paraId="7089037C">
      <w:pPr>
        <w:pStyle w:val="14"/>
        <w:spacing w:line="360" w:lineRule="auto"/>
        <w:rPr>
          <w:rFonts w:hint="eastAsia" w:ascii="仿宋_GB2312" w:hAnsi="仿宋_GB2312" w:eastAsia="仿宋_GB2312" w:cs="仿宋_GB2312"/>
          <w:b/>
          <w:color w:val="auto"/>
        </w:rPr>
      </w:pPr>
      <w:bookmarkStart w:id="30" w:name="_Toc8006"/>
      <w:r>
        <w:rPr>
          <w:rFonts w:hint="eastAsia" w:ascii="仿宋_GB2312" w:hAnsi="仿宋_GB2312" w:eastAsia="仿宋_GB2312" w:cs="仿宋_GB2312"/>
          <w:b/>
          <w:color w:val="auto"/>
          <w:lang w:val="en-US" w:eastAsia="zh-CN"/>
        </w:rPr>
        <w:t>3</w:t>
      </w:r>
      <w:r>
        <w:rPr>
          <w:rFonts w:hint="eastAsia" w:ascii="仿宋_GB2312" w:hAnsi="仿宋_GB2312" w:eastAsia="仿宋_GB2312" w:cs="仿宋_GB2312"/>
          <w:b/>
          <w:color w:val="auto"/>
        </w:rPr>
        <w:t>.资格审查方式</w:t>
      </w:r>
      <w:bookmarkEnd w:id="30"/>
    </w:p>
    <w:p w14:paraId="00F39592">
      <w:pPr>
        <w:ind w:firstLine="22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本次采用资格后审的方式。</w:t>
      </w:r>
    </w:p>
    <w:p w14:paraId="61F13A49">
      <w:pPr>
        <w:pStyle w:val="14"/>
        <w:spacing w:line="360" w:lineRule="auto"/>
        <w:rPr>
          <w:rFonts w:hint="eastAsia" w:ascii="仿宋_GB2312" w:hAnsi="仿宋_GB2312" w:eastAsia="仿宋_GB2312" w:cs="仿宋_GB2312"/>
          <w:b/>
          <w:color w:val="auto"/>
          <w:lang w:eastAsia="zh-CN"/>
        </w:rPr>
      </w:pPr>
      <w:bookmarkStart w:id="31" w:name="_Toc4558"/>
      <w:bookmarkStart w:id="32" w:name="_Toc334192306"/>
      <w:bookmarkStart w:id="33" w:name="_Toc440315389"/>
      <w:bookmarkStart w:id="34" w:name="_Toc23572"/>
      <w:bookmarkStart w:id="35" w:name="_Toc393729364"/>
      <w:bookmarkStart w:id="36" w:name="_Toc440314994"/>
      <w:bookmarkStart w:id="37" w:name="_Toc324064793"/>
      <w:bookmarkStart w:id="38" w:name="_Toc19768"/>
      <w:bookmarkStart w:id="39" w:name="_Toc440899097"/>
      <w:bookmarkStart w:id="40" w:name="_Toc324410525"/>
      <w:bookmarkStart w:id="41" w:name="_Toc28803"/>
      <w:r>
        <w:rPr>
          <w:rFonts w:hint="eastAsia" w:ascii="仿宋_GB2312" w:hAnsi="仿宋_GB2312" w:eastAsia="仿宋_GB2312" w:cs="仿宋_GB2312"/>
          <w:b/>
          <w:color w:val="auto"/>
          <w:lang w:val="en-US" w:eastAsia="zh-CN"/>
        </w:rPr>
        <w:t>4</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en-US" w:eastAsia="zh-CN"/>
        </w:rPr>
        <w:t>公开投标</w:t>
      </w:r>
      <w:bookmarkEnd w:id="31"/>
      <w:bookmarkEnd w:id="32"/>
      <w:bookmarkEnd w:id="33"/>
      <w:bookmarkEnd w:id="34"/>
      <w:bookmarkEnd w:id="35"/>
      <w:bookmarkEnd w:id="36"/>
      <w:bookmarkEnd w:id="37"/>
      <w:bookmarkEnd w:id="38"/>
      <w:bookmarkEnd w:id="39"/>
      <w:bookmarkEnd w:id="40"/>
      <w:r>
        <w:rPr>
          <w:rFonts w:hint="eastAsia" w:ascii="仿宋_GB2312" w:hAnsi="仿宋_GB2312" w:eastAsia="仿宋_GB2312" w:cs="仿宋_GB2312"/>
          <w:b/>
          <w:color w:val="auto"/>
          <w:lang w:val="en-US" w:eastAsia="zh-CN"/>
        </w:rPr>
        <w:t>单位</w:t>
      </w:r>
      <w:bookmarkEnd w:id="41"/>
    </w:p>
    <w:p w14:paraId="20F67EC7">
      <w:pPr>
        <w:tabs>
          <w:tab w:val="left" w:pos="0"/>
        </w:tabs>
        <w:adjustRightInd w:val="0"/>
        <w:snapToGrid w:val="0"/>
        <w:spacing w:line="440" w:lineRule="exact"/>
        <w:ind w:firstLine="440" w:firstLineChars="200"/>
        <w:rPr>
          <w:rFonts w:hint="eastAsia" w:ascii="仿宋_GB2312" w:hAnsi="仿宋_GB2312" w:eastAsia="仿宋_GB2312" w:cs="仿宋_GB2312"/>
          <w:szCs w:val="21"/>
        </w:rPr>
      </w:pPr>
      <w:bookmarkStart w:id="42" w:name="_Toc324410528"/>
      <w:bookmarkStart w:id="43" w:name="_Toc324064796"/>
      <w:r>
        <w:rPr>
          <w:rFonts w:hint="eastAsia" w:ascii="仿宋_GB2312" w:hAnsi="仿宋_GB2312" w:eastAsia="仿宋_GB2312" w:cs="仿宋_GB2312"/>
          <w:szCs w:val="21"/>
          <w:lang w:val="en-US" w:eastAsia="zh-CN"/>
        </w:rPr>
        <w:t>已办理在甘孜州交通和城乡建设投资集团有限公司水泥库单位</w:t>
      </w:r>
      <w:r>
        <w:rPr>
          <w:rFonts w:hint="eastAsia" w:ascii="仿宋_GB2312" w:hAnsi="仿宋_GB2312" w:eastAsia="仿宋_GB2312" w:cs="仿宋_GB2312"/>
          <w:szCs w:val="21"/>
        </w:rPr>
        <w:t>。</w:t>
      </w:r>
    </w:p>
    <w:bookmarkEnd w:id="42"/>
    <w:bookmarkEnd w:id="43"/>
    <w:p w14:paraId="4566E677">
      <w:pPr>
        <w:pStyle w:val="14"/>
        <w:spacing w:line="360" w:lineRule="auto"/>
        <w:rPr>
          <w:rFonts w:hint="eastAsia" w:ascii="仿宋_GB2312" w:hAnsi="仿宋_GB2312" w:eastAsia="仿宋_GB2312" w:cs="仿宋_GB2312"/>
          <w:b/>
          <w:color w:val="auto"/>
        </w:rPr>
      </w:pPr>
      <w:bookmarkStart w:id="44" w:name="_Toc13579"/>
      <w:bookmarkStart w:id="45" w:name="_Toc440899102"/>
      <w:bookmarkStart w:id="46" w:name="_Toc440315394"/>
      <w:bookmarkStart w:id="47" w:name="_Toc29102"/>
      <w:bookmarkStart w:id="48" w:name="_Toc15253"/>
      <w:bookmarkStart w:id="49" w:name="_Toc32167"/>
      <w:bookmarkStart w:id="50" w:name="_Toc11880"/>
      <w:bookmarkStart w:id="51" w:name="_Toc440314999"/>
      <w:r>
        <w:rPr>
          <w:rFonts w:hint="eastAsia" w:ascii="仿宋_GB2312" w:hAnsi="仿宋_GB2312" w:eastAsia="仿宋_GB2312" w:cs="仿宋_GB2312"/>
          <w:b/>
          <w:color w:val="auto"/>
          <w:lang w:val="en-US" w:eastAsia="zh-CN"/>
        </w:rPr>
        <w:t>5</w:t>
      </w:r>
      <w:r>
        <w:rPr>
          <w:rFonts w:hint="eastAsia" w:ascii="仿宋_GB2312" w:hAnsi="仿宋_GB2312" w:eastAsia="仿宋_GB2312" w:cs="仿宋_GB2312"/>
          <w:b/>
          <w:color w:val="auto"/>
        </w:rPr>
        <w:t>.招标文件的获取</w:t>
      </w:r>
      <w:bookmarkEnd w:id="44"/>
    </w:p>
    <w:p w14:paraId="23E9DB25">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.1本次招标文件仅采用电子版方式发售，潜在投标人购买招标文件须在</w:t>
      </w:r>
      <w:r>
        <w:rPr>
          <w:rFonts w:hint="eastAsia" w:ascii="仿宋_GB2312" w:hAnsi="仿宋_GB2312" w:eastAsia="仿宋_GB2312" w:cs="仿宋_GB2312"/>
          <w:color w:val="auto"/>
          <w:szCs w:val="21"/>
          <w:highlight w:val="none"/>
          <w:u w:val="single"/>
          <w:lang w:val="en-US" w:eastAsia="zh-CN"/>
        </w:rPr>
        <w:t>甘孜州建设投资集团有限公司</w:t>
      </w:r>
      <w:r>
        <w:rPr>
          <w:rFonts w:hint="eastAsia" w:ascii="仿宋_GB2312" w:hAnsi="仿宋_GB2312" w:eastAsia="仿宋_GB2312" w:cs="仿宋_GB2312"/>
          <w:color w:val="auto"/>
          <w:szCs w:val="21"/>
          <w:highlight w:val="none"/>
          <w:u w:val="none"/>
          <w:lang w:val="en-US" w:eastAsia="zh-CN"/>
        </w:rPr>
        <w:t>官网</w:t>
      </w:r>
      <w:r>
        <w:rPr>
          <w:rFonts w:hint="eastAsia" w:ascii="仿宋_GB2312" w:hAnsi="仿宋_GB2312" w:eastAsia="仿宋_GB2312" w:cs="仿宋_GB2312"/>
          <w:color w:val="auto"/>
          <w:sz w:val="24"/>
          <w:lang w:bidi="ar"/>
        </w:rPr>
        <w:t>（</w:t>
      </w:r>
      <w:r>
        <w:rPr>
          <w:rFonts w:hint="eastAsia" w:ascii="仿宋_GB2312" w:hAnsi="仿宋_GB2312" w:eastAsia="仿宋_GB2312" w:cs="仿宋_GB2312"/>
          <w:color w:val="auto"/>
          <w:szCs w:val="21"/>
          <w:highlight w:val="none"/>
          <w:u w:val="single"/>
          <w:lang w:val="en-US" w:eastAsia="zh-CN"/>
        </w:rPr>
        <w:t>网址：https://www.gzzjct.cn/</w:t>
      </w:r>
      <w:r>
        <w:rPr>
          <w:rFonts w:hint="eastAsia" w:ascii="仿宋_GB2312" w:hAnsi="仿宋_GB2312" w:eastAsia="仿宋_GB2312" w:cs="仿宋_GB2312"/>
          <w:color w:val="auto"/>
          <w:sz w:val="24"/>
          <w:lang w:bidi="ar"/>
        </w:rPr>
        <w:t>）</w:t>
      </w:r>
      <w:r>
        <w:rPr>
          <w:rFonts w:hint="eastAsia" w:ascii="仿宋_GB2312" w:hAnsi="仿宋_GB2312" w:eastAsia="仿宋_GB2312" w:cs="仿宋_GB2312"/>
          <w:color w:val="auto"/>
          <w:szCs w:val="21"/>
          <w:lang w:val="en-US" w:eastAsia="zh-CN"/>
        </w:rPr>
        <w:t>获取招标信息</w:t>
      </w:r>
      <w:r>
        <w:rPr>
          <w:rFonts w:hint="eastAsia" w:ascii="仿宋_GB2312" w:hAnsi="仿宋_GB2312" w:eastAsia="仿宋_GB2312" w:cs="仿宋_GB2312"/>
          <w:color w:val="auto"/>
          <w:szCs w:val="21"/>
        </w:rPr>
        <w:t>。</w:t>
      </w:r>
    </w:p>
    <w:p w14:paraId="2E954AD0">
      <w:pPr>
        <w:tabs>
          <w:tab w:val="left" w:pos="0"/>
        </w:tabs>
        <w:adjustRightInd w:val="0"/>
        <w:snapToGrid w:val="0"/>
        <w:spacing w:line="440" w:lineRule="exact"/>
        <w:ind w:firstLine="44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获取</w:t>
      </w:r>
      <w:r>
        <w:rPr>
          <w:rFonts w:hint="eastAsia" w:ascii="仿宋_GB2312" w:hAnsi="仿宋_GB2312" w:eastAsia="仿宋_GB2312" w:cs="仿宋_GB2312"/>
          <w:color w:val="auto"/>
          <w:szCs w:val="21"/>
          <w:highlight w:val="none"/>
        </w:rPr>
        <w:t>电子版招标文件的潜在投标人：请于</w:t>
      </w:r>
      <w:r>
        <w:rPr>
          <w:rFonts w:hint="eastAsia" w:ascii="仿宋_GB2312" w:hAnsi="仿宋_GB2312" w:eastAsia="仿宋_GB2312" w:cs="仿宋_GB2312"/>
          <w:color w:val="auto"/>
          <w:szCs w:val="21"/>
          <w:highlight w:val="none"/>
          <w:u w:val="single"/>
          <w:lang w:eastAsia="zh-CN"/>
        </w:rPr>
        <w:t>2025年9月</w:t>
      </w:r>
      <w:r>
        <w:rPr>
          <w:rFonts w:hint="eastAsia" w:ascii="仿宋_GB2312" w:hAnsi="仿宋_GB2312" w:eastAsia="仿宋_GB2312" w:cs="仿宋_GB2312"/>
          <w:color w:val="auto"/>
          <w:szCs w:val="21"/>
          <w:highlight w:val="none"/>
          <w:u w:val="single"/>
          <w:lang w:val="en-US" w:eastAsia="zh-CN"/>
        </w:rPr>
        <w:t>29</w:t>
      </w:r>
      <w:r>
        <w:rPr>
          <w:rFonts w:hint="eastAsia" w:ascii="仿宋_GB2312" w:hAnsi="仿宋_GB2312" w:eastAsia="仿宋_GB2312" w:cs="仿宋_GB2312"/>
          <w:color w:val="auto"/>
          <w:szCs w:val="21"/>
          <w:highlight w:val="none"/>
          <w:u w:val="single"/>
          <w:lang w:eastAsia="zh-CN"/>
        </w:rPr>
        <w:t>日</w:t>
      </w:r>
      <w:r>
        <w:rPr>
          <w:rFonts w:hint="eastAsia" w:ascii="仿宋_GB2312" w:hAnsi="仿宋_GB2312" w:eastAsia="仿宋_GB2312" w:cs="仿宋_GB2312"/>
          <w:color w:val="auto"/>
          <w:szCs w:val="21"/>
          <w:highlight w:val="none"/>
          <w:u w:val="single"/>
          <w:lang w:val="en-US" w:eastAsia="zh-CN"/>
        </w:rPr>
        <w:t>0</w:t>
      </w:r>
      <w:r>
        <w:rPr>
          <w:rFonts w:hint="eastAsia" w:ascii="仿宋_GB2312" w:hAnsi="仿宋_GB2312" w:eastAsia="仿宋_GB2312" w:cs="仿宋_GB2312"/>
          <w:color w:val="auto"/>
          <w:szCs w:val="21"/>
          <w:highlight w:val="none"/>
          <w:u w:val="single"/>
        </w:rPr>
        <w:t>时00分至</w:t>
      </w:r>
      <w:r>
        <w:rPr>
          <w:rFonts w:hint="eastAsia" w:ascii="仿宋_GB2312" w:hAnsi="仿宋_GB2312" w:eastAsia="仿宋_GB2312" w:cs="仿宋_GB2312"/>
          <w:color w:val="auto"/>
          <w:szCs w:val="21"/>
          <w:highlight w:val="none"/>
          <w:u w:val="single"/>
          <w:lang w:val="en-US" w:eastAsia="zh-CN"/>
        </w:rPr>
        <w:t>2025年10月2</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u w:val="single"/>
          <w:lang w:val="en-US" w:eastAsia="zh-CN"/>
        </w:rPr>
        <w:t>24时</w:t>
      </w:r>
      <w:r>
        <w:rPr>
          <w:rFonts w:hint="eastAsia" w:ascii="仿宋_GB2312" w:hAnsi="仿宋_GB2312" w:eastAsia="仿宋_GB2312" w:cs="仿宋_GB2312"/>
          <w:color w:val="auto"/>
          <w:szCs w:val="21"/>
          <w:highlight w:val="none"/>
          <w:u w:val="single"/>
        </w:rPr>
        <w:t>00分前</w:t>
      </w:r>
      <w:r>
        <w:rPr>
          <w:rFonts w:hint="eastAsia" w:ascii="仿宋_GB2312" w:hAnsi="仿宋_GB2312" w:eastAsia="仿宋_GB2312" w:cs="仿宋_GB2312"/>
          <w:color w:val="auto"/>
          <w:szCs w:val="21"/>
          <w:highlight w:val="none"/>
        </w:rPr>
        <w:t>将投标申请表（附表2）、身份证、营业执照副本扫描件发送至</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u w:val="single"/>
          <w:lang w:val="en-US" w:eastAsia="zh-CN"/>
        </w:rPr>
        <w:t>525590133@qq.com</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zCs w:val="21"/>
          <w:highlight w:val="none"/>
        </w:rPr>
        <w:t>,并</w:t>
      </w:r>
      <w:r>
        <w:rPr>
          <w:rFonts w:hint="eastAsia" w:ascii="仿宋_GB2312" w:hAnsi="仿宋_GB2312" w:eastAsia="仿宋_GB2312" w:cs="仿宋_GB2312"/>
          <w:color w:val="auto"/>
          <w:szCs w:val="21"/>
          <w:highlight w:val="none"/>
          <w:lang w:val="en-US" w:eastAsia="zh-CN"/>
        </w:rPr>
        <w:t>经招标人</w:t>
      </w:r>
      <w:r>
        <w:rPr>
          <w:rFonts w:hint="eastAsia" w:ascii="仿宋_GB2312" w:hAnsi="仿宋_GB2312" w:eastAsia="仿宋_GB2312" w:cs="仿宋_GB2312"/>
          <w:color w:val="auto"/>
          <w:szCs w:val="21"/>
          <w:highlight w:val="none"/>
        </w:rPr>
        <w:t>收到信息经核实后，</w:t>
      </w:r>
      <w:r>
        <w:rPr>
          <w:rFonts w:hint="eastAsia" w:ascii="仿宋_GB2312" w:hAnsi="仿宋_GB2312" w:eastAsia="仿宋_GB2312" w:cs="仿宋_GB2312"/>
          <w:color w:val="auto"/>
          <w:szCs w:val="21"/>
          <w:highlight w:val="none"/>
          <w:lang w:val="en-US" w:eastAsia="zh-CN"/>
        </w:rPr>
        <w:t>由招标人</w:t>
      </w:r>
      <w:r>
        <w:rPr>
          <w:rFonts w:hint="eastAsia" w:ascii="仿宋_GB2312" w:hAnsi="仿宋_GB2312" w:eastAsia="仿宋_GB2312" w:cs="仿宋_GB2312"/>
          <w:color w:val="auto"/>
          <w:szCs w:val="21"/>
          <w:highlight w:val="none"/>
        </w:rPr>
        <w:t>将电子版招标文件发送至投标人申请表提供的邮箱中</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报名后，投标人自行核实是否收到招标文件，邮箱是否收到招标文件责任由投标人自行承担</w:t>
      </w:r>
      <w:r>
        <w:rPr>
          <w:rFonts w:hint="eastAsia" w:ascii="仿宋_GB2312" w:hAnsi="仿宋_GB2312" w:eastAsia="仿宋_GB2312" w:cs="仿宋_GB2312"/>
          <w:color w:val="auto"/>
          <w:szCs w:val="21"/>
          <w:highlight w:val="none"/>
        </w:rPr>
        <w:t>。</w:t>
      </w:r>
    </w:p>
    <w:p w14:paraId="6CF9BFAE">
      <w:pPr>
        <w:spacing w:line="440" w:lineRule="exact"/>
        <w:ind w:firstLine="44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所有投标人需在</w:t>
      </w:r>
      <w:r>
        <w:rPr>
          <w:rFonts w:hint="eastAsia" w:ascii="仿宋_GB2312" w:hAnsi="仿宋_GB2312" w:eastAsia="仿宋_GB2312" w:cs="仿宋_GB2312"/>
          <w:color w:val="auto"/>
          <w:szCs w:val="21"/>
          <w:highlight w:val="none"/>
          <w:u w:val="single"/>
          <w:lang w:eastAsia="zh-CN"/>
        </w:rPr>
        <w:t>2025年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lang w:eastAsia="zh-CN"/>
        </w:rPr>
        <w:t>月</w:t>
      </w:r>
      <w:r>
        <w:rPr>
          <w:rFonts w:hint="eastAsia" w:ascii="仿宋_GB2312" w:hAnsi="仿宋_GB2312" w:eastAsia="仿宋_GB2312" w:cs="仿宋_GB2312"/>
          <w:color w:val="auto"/>
          <w:szCs w:val="21"/>
          <w:highlight w:val="none"/>
          <w:u w:val="single"/>
          <w:lang w:val="en-US" w:eastAsia="zh-CN"/>
        </w:rPr>
        <w:t>3日0</w:t>
      </w:r>
      <w:r>
        <w:rPr>
          <w:rFonts w:hint="eastAsia" w:ascii="仿宋_GB2312" w:hAnsi="仿宋_GB2312" w:eastAsia="仿宋_GB2312" w:cs="仿宋_GB2312"/>
          <w:color w:val="auto"/>
          <w:szCs w:val="21"/>
          <w:highlight w:val="none"/>
          <w:u w:val="single"/>
        </w:rPr>
        <w:t>时00分至</w:t>
      </w:r>
      <w:r>
        <w:rPr>
          <w:rFonts w:hint="eastAsia" w:ascii="仿宋_GB2312" w:hAnsi="仿宋_GB2312" w:eastAsia="仿宋_GB2312" w:cs="仿宋_GB2312"/>
          <w:color w:val="auto"/>
          <w:szCs w:val="21"/>
          <w:highlight w:val="none"/>
          <w:u w:val="single"/>
          <w:lang w:val="en-US" w:eastAsia="zh-CN"/>
        </w:rPr>
        <w:t>2025年10月10日16时</w:t>
      </w:r>
      <w:r>
        <w:rPr>
          <w:rFonts w:hint="eastAsia" w:ascii="仿宋_GB2312" w:hAnsi="仿宋_GB2312" w:eastAsia="仿宋_GB2312" w:cs="仿宋_GB2312"/>
          <w:color w:val="auto"/>
          <w:szCs w:val="21"/>
          <w:highlight w:val="none"/>
          <w:u w:val="single"/>
        </w:rPr>
        <w:t>00分前</w:t>
      </w:r>
      <w:r>
        <w:rPr>
          <w:rFonts w:hint="eastAsia" w:ascii="仿宋_GB2312" w:hAnsi="仿宋_GB2312" w:eastAsia="仿宋_GB2312" w:cs="仿宋_GB2312"/>
          <w:color w:val="auto"/>
          <w:szCs w:val="21"/>
          <w:highlight w:val="none"/>
        </w:rPr>
        <w:t>进行响应</w:t>
      </w:r>
      <w:r>
        <w:rPr>
          <w:rFonts w:hint="eastAsia" w:ascii="仿宋_GB2312" w:hAnsi="仿宋_GB2312" w:eastAsia="仿宋_GB2312" w:cs="仿宋_GB2312"/>
          <w:color w:val="auto"/>
          <w:szCs w:val="21"/>
          <w:highlight w:val="none"/>
          <w:lang w:val="en-US" w:eastAsia="zh-CN"/>
        </w:rPr>
        <w:t>投标</w:t>
      </w:r>
      <w:r>
        <w:rPr>
          <w:rFonts w:hint="eastAsia" w:ascii="仿宋_GB2312" w:hAnsi="仿宋_GB2312" w:eastAsia="仿宋_GB2312" w:cs="仿宋_GB2312"/>
          <w:color w:val="auto"/>
          <w:szCs w:val="21"/>
          <w:highlight w:val="none"/>
        </w:rPr>
        <w:t>。</w:t>
      </w:r>
    </w:p>
    <w:p w14:paraId="40EC6D2B">
      <w:pPr>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所有投标人应在开标截止时间前</w:t>
      </w:r>
      <w:r>
        <w:rPr>
          <w:rFonts w:hint="eastAsia" w:ascii="仿宋_GB2312" w:hAnsi="仿宋_GB2312" w:eastAsia="仿宋_GB2312" w:cs="仿宋_GB2312"/>
          <w:color w:val="auto"/>
          <w:szCs w:val="21"/>
          <w:highlight w:val="none"/>
          <w:lang w:val="en-US" w:eastAsia="zh-CN"/>
        </w:rPr>
        <w:t>完成投标文件投递。投标时间截止招标人未收到投标文件的将不予接收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责任</w:t>
      </w:r>
      <w:r>
        <w:rPr>
          <w:rFonts w:hint="eastAsia" w:ascii="仿宋_GB2312" w:hAnsi="仿宋_GB2312" w:eastAsia="仿宋_GB2312" w:cs="仿宋_GB2312"/>
          <w:color w:val="auto"/>
          <w:szCs w:val="21"/>
          <w:highlight w:val="none"/>
        </w:rPr>
        <w:t>由投标人自行承担。</w:t>
      </w:r>
    </w:p>
    <w:p w14:paraId="4E1F22C2">
      <w:pPr>
        <w:pStyle w:val="14"/>
        <w:spacing w:line="360" w:lineRule="auto"/>
        <w:rPr>
          <w:rFonts w:hint="eastAsia" w:ascii="仿宋_GB2312" w:hAnsi="仿宋_GB2312" w:eastAsia="仿宋_GB2312" w:cs="仿宋_GB2312"/>
          <w:b/>
          <w:color w:val="auto"/>
          <w:sz w:val="27"/>
          <w:szCs w:val="27"/>
        </w:rPr>
      </w:pPr>
      <w:bookmarkStart w:id="52" w:name="_Toc8752"/>
      <w:bookmarkStart w:id="53" w:name="_Toc7410"/>
      <w:bookmarkStart w:id="54" w:name="_Toc440314995"/>
      <w:bookmarkStart w:id="55" w:name="_Toc391387902"/>
      <w:bookmarkStart w:id="56" w:name="_Toc440899098"/>
      <w:bookmarkStart w:id="57" w:name="_Toc11576"/>
      <w:bookmarkStart w:id="58" w:name="_Toc23728"/>
      <w:bookmarkStart w:id="59" w:name="_Toc440315390"/>
      <w:r>
        <w:rPr>
          <w:rFonts w:hint="eastAsia" w:ascii="仿宋_GB2312" w:hAnsi="仿宋_GB2312" w:eastAsia="仿宋_GB2312" w:cs="仿宋_GB2312"/>
          <w:b/>
          <w:color w:val="auto"/>
          <w:sz w:val="27"/>
          <w:szCs w:val="27"/>
          <w:lang w:val="en-US" w:eastAsia="zh-CN"/>
        </w:rPr>
        <w:t>6</w:t>
      </w:r>
      <w:r>
        <w:rPr>
          <w:rFonts w:hint="eastAsia" w:ascii="仿宋_GB2312" w:hAnsi="仿宋_GB2312" w:eastAsia="仿宋_GB2312" w:cs="仿宋_GB2312"/>
          <w:b/>
          <w:color w:val="auto"/>
          <w:sz w:val="27"/>
          <w:szCs w:val="27"/>
        </w:rPr>
        <w:t>.投标</w:t>
      </w:r>
      <w:r>
        <w:rPr>
          <w:rFonts w:hint="eastAsia" w:ascii="仿宋_GB2312" w:hAnsi="仿宋_GB2312" w:eastAsia="仿宋_GB2312" w:cs="仿宋_GB2312"/>
          <w:b/>
          <w:color w:val="auto"/>
        </w:rPr>
        <w:t>文件</w:t>
      </w:r>
      <w:r>
        <w:rPr>
          <w:rFonts w:hint="eastAsia" w:ascii="仿宋_GB2312" w:hAnsi="仿宋_GB2312" w:eastAsia="仿宋_GB2312" w:cs="仿宋_GB2312"/>
          <w:b/>
          <w:color w:val="auto"/>
          <w:sz w:val="27"/>
          <w:szCs w:val="27"/>
        </w:rPr>
        <w:t>的递交</w:t>
      </w:r>
      <w:bookmarkEnd w:id="52"/>
      <w:bookmarkEnd w:id="53"/>
      <w:bookmarkEnd w:id="54"/>
      <w:bookmarkEnd w:id="55"/>
      <w:bookmarkEnd w:id="56"/>
      <w:bookmarkEnd w:id="57"/>
      <w:bookmarkEnd w:id="58"/>
      <w:bookmarkEnd w:id="59"/>
    </w:p>
    <w:p w14:paraId="5CEF8797">
      <w:pPr>
        <w:adjustRightInd w:val="0"/>
        <w:snapToGrid w:val="0"/>
        <w:spacing w:line="440" w:lineRule="exact"/>
        <w:ind w:firstLine="440" w:firstLineChars="200"/>
        <w:rPr>
          <w:rFonts w:hint="eastAsia" w:ascii="仿宋_GB2312" w:hAnsi="仿宋_GB2312" w:eastAsia="仿宋_GB2312" w:cs="仿宋_GB2312"/>
          <w:color w:val="auto"/>
          <w:szCs w:val="21"/>
        </w:rPr>
      </w:pPr>
      <w:bookmarkStart w:id="60" w:name="_Toc440899099"/>
      <w:bookmarkStart w:id="61" w:name="_Toc324064795"/>
      <w:bookmarkStart w:id="62" w:name="_Toc7858"/>
      <w:bookmarkStart w:id="63" w:name="_Toc334192308"/>
      <w:bookmarkStart w:id="64" w:name="_Toc393729366"/>
      <w:bookmarkStart w:id="65" w:name="_Toc440315391"/>
      <w:bookmarkStart w:id="66" w:name="_Toc324410527"/>
      <w:bookmarkStart w:id="67" w:name="_Toc440314996"/>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.1 投标文件递交的时间：</w:t>
      </w:r>
    </w:p>
    <w:p w14:paraId="5A1D0570">
      <w:pPr>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本次招标</w:t>
      </w:r>
      <w:r>
        <w:rPr>
          <w:rFonts w:hint="eastAsia" w:ascii="仿宋_GB2312" w:hAnsi="仿宋_GB2312" w:eastAsia="仿宋_GB2312" w:cs="仿宋_GB2312"/>
          <w:color w:val="auto"/>
          <w:szCs w:val="21"/>
          <w:lang w:val="en-US" w:eastAsia="zh-CN"/>
        </w:rPr>
        <w:t>采用线下投标和开标</w:t>
      </w:r>
      <w:r>
        <w:rPr>
          <w:rFonts w:hint="eastAsia" w:ascii="仿宋_GB2312" w:hAnsi="仿宋_GB2312" w:eastAsia="仿宋_GB2312" w:cs="仿宋_GB2312"/>
          <w:color w:val="auto"/>
          <w:szCs w:val="21"/>
        </w:rPr>
        <w:t>方式，投标文件</w:t>
      </w:r>
      <w:r>
        <w:rPr>
          <w:rFonts w:hint="eastAsia" w:ascii="仿宋_GB2312" w:hAnsi="仿宋_GB2312" w:eastAsia="仿宋_GB2312" w:cs="仿宋_GB2312"/>
          <w:color w:val="auto"/>
          <w:szCs w:val="21"/>
          <w:lang w:val="en-US" w:eastAsia="zh-CN"/>
        </w:rPr>
        <w:t>纸质版需于</w:t>
      </w:r>
      <w:r>
        <w:rPr>
          <w:rFonts w:hint="eastAsia" w:ascii="仿宋_GB2312" w:hAnsi="仿宋_GB2312" w:eastAsia="仿宋_GB2312" w:cs="仿宋_GB2312"/>
          <w:color w:val="auto"/>
          <w:szCs w:val="21"/>
        </w:rPr>
        <w:t>截止时间</w:t>
      </w:r>
      <w:r>
        <w:rPr>
          <w:rFonts w:hint="eastAsia" w:ascii="仿宋_GB2312" w:hAnsi="仿宋_GB2312" w:eastAsia="仿宋_GB2312" w:cs="仿宋_GB2312"/>
          <w:color w:val="auto"/>
          <w:szCs w:val="21"/>
          <w:highlight w:val="none"/>
          <w:u w:val="single"/>
          <w:lang w:eastAsia="zh-CN"/>
        </w:rPr>
        <w:t>2025年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lang w:eastAsia="zh-CN"/>
        </w:rPr>
        <w:t>月</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u w:val="single"/>
          <w:lang w:val="en-US" w:eastAsia="zh-CN"/>
        </w:rPr>
        <w:t>16</w:t>
      </w:r>
      <w:r>
        <w:rPr>
          <w:rFonts w:hint="eastAsia" w:ascii="仿宋_GB2312" w:hAnsi="仿宋_GB2312" w:eastAsia="仿宋_GB2312" w:cs="仿宋_GB2312"/>
          <w:color w:val="auto"/>
          <w:szCs w:val="21"/>
          <w:highlight w:val="none"/>
          <w:u w:val="single"/>
        </w:rPr>
        <w:t>时00分前</w:t>
      </w:r>
      <w:r>
        <w:rPr>
          <w:rFonts w:hint="eastAsia" w:ascii="仿宋_GB2312" w:hAnsi="仿宋_GB2312" w:eastAsia="仿宋_GB2312" w:cs="仿宋_GB2312"/>
          <w:color w:val="auto"/>
          <w:szCs w:val="21"/>
          <w:highlight w:val="none"/>
          <w:u w:val="single"/>
          <w:lang w:val="en-US" w:eastAsia="zh-CN"/>
        </w:rPr>
        <w:t>完成递交</w:t>
      </w:r>
      <w:r>
        <w:rPr>
          <w:rFonts w:hint="eastAsia" w:ascii="仿宋_GB2312" w:hAnsi="仿宋_GB2312" w:eastAsia="仿宋_GB2312" w:cs="仿宋_GB2312"/>
          <w:color w:val="auto"/>
          <w:szCs w:val="21"/>
        </w:rPr>
        <w:t>。</w:t>
      </w:r>
    </w:p>
    <w:p w14:paraId="5F12A563">
      <w:pPr>
        <w:adjustRightInd w:val="0"/>
        <w:snapToGrid w:val="0"/>
        <w:spacing w:line="440" w:lineRule="exact"/>
        <w:ind w:firstLine="440" w:firstLineChars="200"/>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sz w:val="22"/>
          <w:szCs w:val="22"/>
          <w:lang w:val="en-US" w:eastAsia="zh-CN"/>
        </w:rPr>
        <w:t>注：本次招标为线下开标，需要装订标书。投标人需持委托授权书（法人除外）、身份证到现场参加开标。不参加现场开标的单位可提前邮寄投标文件，并自行核实招标人是否收到投标文件，且默认对开标结果表示认可</w:t>
      </w:r>
      <w:r>
        <w:rPr>
          <w:rFonts w:hint="default" w:ascii="仿宋_GB2312" w:hAnsi="仿宋_GB2312" w:eastAsia="仿宋_GB2312" w:cs="仿宋_GB2312"/>
          <w:b/>
          <w:bCs/>
          <w:color w:val="auto"/>
          <w:sz w:val="22"/>
          <w:szCs w:val="22"/>
          <w:lang w:val="en-US" w:eastAsia="zh-CN"/>
        </w:rPr>
        <w:t>‌</w:t>
      </w:r>
      <w:r>
        <w:rPr>
          <w:rFonts w:hint="eastAsia" w:ascii="仿宋_GB2312" w:hAnsi="仿宋_GB2312" w:eastAsia="仿宋_GB2312" w:cs="仿宋_GB2312"/>
          <w:b/>
          <w:bCs/>
          <w:color w:val="auto"/>
          <w:sz w:val="22"/>
          <w:szCs w:val="22"/>
          <w:lang w:val="en-US" w:eastAsia="zh-CN"/>
        </w:rPr>
        <w:t>。</w:t>
      </w:r>
    </w:p>
    <w:p w14:paraId="5A7305BC">
      <w:pPr>
        <w:spacing w:line="40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递交</w:t>
      </w:r>
      <w:r>
        <w:rPr>
          <w:rFonts w:hint="eastAsia" w:ascii="仿宋_GB2312" w:hAnsi="仿宋_GB2312" w:eastAsia="仿宋_GB2312" w:cs="仿宋_GB2312"/>
          <w:color w:val="auto"/>
          <w:szCs w:val="21"/>
        </w:rPr>
        <w:t>地点：</w:t>
      </w:r>
      <w:r>
        <w:rPr>
          <w:rFonts w:hint="eastAsia" w:ascii="仿宋_GB2312" w:hAnsi="仿宋_GB2312" w:eastAsia="仿宋_GB2312" w:cs="仿宋_GB2312"/>
          <w:color w:val="auto"/>
          <w:lang w:eastAsia="zh-CN"/>
        </w:rPr>
        <w:t>四川省甘孜藏族自治州康定市榆林街道榆磨路60号州交城投集团办公楼二楼A202号会议室</w:t>
      </w:r>
      <w:r>
        <w:rPr>
          <w:rFonts w:hint="eastAsia" w:ascii="仿宋_GB2312" w:hAnsi="仿宋_GB2312" w:eastAsia="仿宋_GB2312" w:cs="仿宋_GB2312"/>
          <w:color w:val="auto"/>
          <w:lang w:val="en-US" w:eastAsia="zh-CN"/>
        </w:rPr>
        <w:t>（如有变动另行通知）</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21"/>
        </w:rPr>
        <w:t xml:space="preserve"> </w:t>
      </w:r>
    </w:p>
    <w:p w14:paraId="2FE02AD4">
      <w:pPr>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文件递交</w:t>
      </w:r>
      <w:r>
        <w:rPr>
          <w:rFonts w:hint="eastAsia" w:ascii="仿宋_GB2312" w:hAnsi="仿宋_GB2312" w:eastAsia="仿宋_GB2312" w:cs="仿宋_GB2312"/>
          <w:color w:val="auto"/>
          <w:szCs w:val="21"/>
          <w:lang w:val="en-US" w:eastAsia="zh-CN"/>
        </w:rPr>
        <w:t>截止</w:t>
      </w:r>
      <w:r>
        <w:rPr>
          <w:rFonts w:hint="eastAsia" w:ascii="仿宋_GB2312" w:hAnsi="仿宋_GB2312" w:eastAsia="仿宋_GB2312" w:cs="仿宋_GB2312"/>
          <w:color w:val="auto"/>
          <w:szCs w:val="21"/>
        </w:rPr>
        <w:t>时间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eastAsia="zh-CN"/>
        </w:rPr>
        <w:t>2025年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lang w:eastAsia="zh-CN"/>
        </w:rPr>
        <w:t>月</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u w:val="single"/>
          <w:lang w:val="en-US" w:eastAsia="zh-CN"/>
        </w:rPr>
        <w:t>16</w:t>
      </w:r>
      <w:r>
        <w:rPr>
          <w:rFonts w:hint="eastAsia" w:ascii="仿宋_GB2312" w:hAnsi="仿宋_GB2312" w:eastAsia="仿宋_GB2312" w:cs="仿宋_GB2312"/>
          <w:color w:val="auto"/>
          <w:szCs w:val="21"/>
          <w:highlight w:val="none"/>
          <w:u w:val="single"/>
        </w:rPr>
        <w:t>时00分前</w:t>
      </w:r>
      <w:r>
        <w:rPr>
          <w:rFonts w:hint="eastAsia" w:ascii="仿宋_GB2312" w:hAnsi="仿宋_GB2312" w:eastAsia="仿宋_GB2312" w:cs="仿宋_GB2312"/>
          <w:color w:val="auto"/>
          <w:szCs w:val="21"/>
          <w:highlight w:val="none"/>
        </w:rPr>
        <w:t xml:space="preserve"> </w:t>
      </w:r>
    </w:p>
    <w:p w14:paraId="177B3652">
      <w:pPr>
        <w:tabs>
          <w:tab w:val="left" w:pos="360"/>
        </w:tabs>
        <w:adjustRightInd w:val="0"/>
        <w:snapToGrid w:val="0"/>
        <w:spacing w:line="440" w:lineRule="exact"/>
        <w:ind w:firstLine="44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.2逾期</w:t>
      </w:r>
      <w:r>
        <w:rPr>
          <w:rFonts w:hint="eastAsia" w:ascii="仿宋_GB2312" w:hAnsi="仿宋_GB2312" w:eastAsia="仿宋_GB2312" w:cs="仿宋_GB2312"/>
          <w:color w:val="auto"/>
          <w:szCs w:val="21"/>
          <w:lang w:val="en-US" w:eastAsia="zh-CN"/>
        </w:rPr>
        <w:t>递交</w:t>
      </w:r>
      <w:r>
        <w:rPr>
          <w:rFonts w:hint="eastAsia" w:ascii="仿宋_GB2312" w:hAnsi="仿宋_GB2312" w:eastAsia="仿宋_GB2312" w:cs="仿宋_GB2312"/>
          <w:color w:val="auto"/>
          <w:szCs w:val="21"/>
        </w:rPr>
        <w:t>的投标文件，招标人不予受理</w:t>
      </w:r>
      <w:r>
        <w:rPr>
          <w:rFonts w:hint="eastAsia" w:ascii="仿宋_GB2312" w:hAnsi="仿宋_GB2312" w:eastAsia="仿宋_GB2312" w:cs="仿宋_GB2312"/>
          <w:color w:val="auto"/>
          <w:sz w:val="24"/>
        </w:rPr>
        <w:t>。</w:t>
      </w:r>
    </w:p>
    <w:p w14:paraId="28BDE2C3">
      <w:pPr>
        <w:pStyle w:val="14"/>
        <w:spacing w:line="360" w:lineRule="auto"/>
        <w:rPr>
          <w:rFonts w:hint="eastAsia" w:ascii="仿宋_GB2312" w:hAnsi="仿宋_GB2312" w:eastAsia="仿宋_GB2312" w:cs="仿宋_GB2312"/>
          <w:b/>
          <w:color w:val="auto"/>
        </w:rPr>
      </w:pPr>
      <w:bookmarkStart w:id="68" w:name="_Toc24673"/>
      <w:bookmarkStart w:id="69" w:name="_Toc18914"/>
      <w:bookmarkStart w:id="70" w:name="_Toc6949"/>
      <w:r>
        <w:rPr>
          <w:rFonts w:hint="eastAsia" w:ascii="仿宋_GB2312" w:hAnsi="仿宋_GB2312" w:eastAsia="仿宋_GB2312" w:cs="仿宋_GB2312"/>
          <w:b/>
          <w:color w:val="auto"/>
          <w:lang w:val="en-US" w:eastAsia="zh-CN"/>
        </w:rPr>
        <w:t>7</w:t>
      </w:r>
      <w:r>
        <w:rPr>
          <w:rFonts w:hint="eastAsia" w:ascii="仿宋_GB2312" w:hAnsi="仿宋_GB2312" w:eastAsia="仿宋_GB2312" w:cs="仿宋_GB2312"/>
          <w:b/>
          <w:color w:val="auto"/>
        </w:rPr>
        <w:t>.开标</w:t>
      </w:r>
      <w:bookmarkEnd w:id="60"/>
      <w:bookmarkEnd w:id="61"/>
      <w:bookmarkEnd w:id="62"/>
      <w:bookmarkEnd w:id="63"/>
      <w:bookmarkEnd w:id="64"/>
      <w:bookmarkEnd w:id="65"/>
      <w:bookmarkEnd w:id="66"/>
      <w:bookmarkEnd w:id="67"/>
      <w:bookmarkEnd w:id="68"/>
      <w:bookmarkEnd w:id="69"/>
      <w:bookmarkEnd w:id="70"/>
    </w:p>
    <w:p w14:paraId="34A59E95">
      <w:pPr>
        <w:spacing w:line="400" w:lineRule="exact"/>
        <w:ind w:firstLine="440" w:firstLineChars="200"/>
        <w:rPr>
          <w:rFonts w:hint="eastAsia" w:ascii="仿宋_GB2312" w:hAnsi="仿宋_GB2312" w:eastAsia="仿宋_GB2312" w:cs="仿宋_GB2312"/>
          <w:color w:val="auto"/>
          <w:szCs w:val="21"/>
          <w:highlight w:val="yellow"/>
          <w:u w:val="single"/>
        </w:rPr>
      </w:pPr>
      <w:bookmarkStart w:id="71" w:name="_Toc393729367"/>
      <w:bookmarkStart w:id="72" w:name="_Toc334192309"/>
      <w:r>
        <w:rPr>
          <w:rFonts w:hint="eastAsia" w:ascii="仿宋_GB2312" w:hAnsi="仿宋_GB2312" w:eastAsia="仿宋_GB2312" w:cs="仿宋_GB2312"/>
          <w:color w:val="auto"/>
          <w:szCs w:val="21"/>
        </w:rPr>
        <w:t>①开标时间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eastAsia="zh-CN"/>
        </w:rPr>
        <w:t>2025年</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lang w:eastAsia="zh-CN"/>
        </w:rPr>
        <w:t>月</w:t>
      </w:r>
      <w:r>
        <w:rPr>
          <w:rFonts w:hint="eastAsia" w:ascii="仿宋_GB2312" w:hAnsi="仿宋_GB2312" w:eastAsia="仿宋_GB2312" w:cs="仿宋_GB2312"/>
          <w:color w:val="auto"/>
          <w:szCs w:val="21"/>
          <w:highlight w:val="none"/>
          <w:u w:val="single"/>
          <w:lang w:val="en-US" w:eastAsia="zh-CN"/>
        </w:rPr>
        <w:t>10</w:t>
      </w:r>
      <w:r>
        <w:rPr>
          <w:rFonts w:hint="eastAsia" w:ascii="仿宋_GB2312" w:hAnsi="仿宋_GB2312" w:eastAsia="仿宋_GB2312" w:cs="仿宋_GB2312"/>
          <w:color w:val="auto"/>
          <w:szCs w:val="21"/>
          <w:highlight w:val="none"/>
          <w:u w:val="single"/>
        </w:rPr>
        <w:t>日</w:t>
      </w:r>
      <w:r>
        <w:rPr>
          <w:rFonts w:hint="eastAsia" w:ascii="仿宋_GB2312" w:hAnsi="仿宋_GB2312" w:eastAsia="仿宋_GB2312" w:cs="仿宋_GB2312"/>
          <w:color w:val="auto"/>
          <w:szCs w:val="21"/>
          <w:highlight w:val="none"/>
          <w:u w:val="single"/>
          <w:lang w:val="en-US" w:eastAsia="zh-CN"/>
        </w:rPr>
        <w:t>16</w:t>
      </w:r>
      <w:r>
        <w:rPr>
          <w:rFonts w:hint="eastAsia" w:ascii="仿宋_GB2312" w:hAnsi="仿宋_GB2312" w:eastAsia="仿宋_GB2312" w:cs="仿宋_GB2312"/>
          <w:color w:val="auto"/>
          <w:szCs w:val="21"/>
          <w:highlight w:val="none"/>
          <w:u w:val="single"/>
        </w:rPr>
        <w:t>时00分前</w:t>
      </w:r>
    </w:p>
    <w:p w14:paraId="6AE36669">
      <w:pPr>
        <w:spacing w:line="400" w:lineRule="exact"/>
        <w:ind w:firstLine="440" w:firstLineChars="20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②开标地点：</w:t>
      </w:r>
      <w:r>
        <w:rPr>
          <w:rFonts w:hint="eastAsia" w:ascii="仿宋_GB2312" w:hAnsi="仿宋_GB2312" w:eastAsia="仿宋_GB2312" w:cs="仿宋_GB2312"/>
          <w:color w:val="auto"/>
          <w:u w:val="single"/>
          <w:lang w:eastAsia="zh-CN"/>
        </w:rPr>
        <w:t>四川省甘孜藏族自治州康定市榆林街道榆磨路60号州交城投集团办公楼二楼A202号会议室</w:t>
      </w:r>
      <w:r>
        <w:rPr>
          <w:rFonts w:hint="eastAsia" w:ascii="仿宋_GB2312" w:hAnsi="仿宋_GB2312" w:eastAsia="仿宋_GB2312" w:cs="仿宋_GB2312"/>
          <w:color w:val="auto"/>
          <w:u w:val="single"/>
          <w:lang w:val="en-US" w:eastAsia="zh-CN"/>
        </w:rPr>
        <w:t>（如有变动另行通知）</w:t>
      </w:r>
    </w:p>
    <w:p w14:paraId="1C81EFD8">
      <w:pPr>
        <w:pStyle w:val="14"/>
        <w:spacing w:line="360" w:lineRule="auto"/>
        <w:rPr>
          <w:rFonts w:hint="eastAsia" w:ascii="仿宋_GB2312" w:hAnsi="仿宋_GB2312" w:eastAsia="仿宋_GB2312" w:cs="仿宋_GB2312"/>
          <w:b/>
          <w:color w:val="auto"/>
        </w:rPr>
      </w:pPr>
      <w:bookmarkStart w:id="73" w:name="_Toc9181"/>
      <w:bookmarkStart w:id="74" w:name="_Toc21079"/>
      <w:bookmarkStart w:id="75" w:name="_Toc440314997"/>
      <w:bookmarkStart w:id="76" w:name="_Toc440315392"/>
      <w:bookmarkStart w:id="77" w:name="_Toc440899100"/>
      <w:bookmarkStart w:id="78" w:name="_Toc751"/>
      <w:r>
        <w:rPr>
          <w:rFonts w:hint="eastAsia" w:ascii="仿宋_GB2312" w:hAnsi="仿宋_GB2312" w:eastAsia="仿宋_GB2312" w:cs="仿宋_GB2312"/>
          <w:b/>
          <w:color w:val="auto"/>
          <w:lang w:val="en-US" w:eastAsia="zh-CN"/>
        </w:rPr>
        <w:t>8</w:t>
      </w:r>
      <w:r>
        <w:rPr>
          <w:rFonts w:hint="eastAsia" w:ascii="仿宋_GB2312" w:hAnsi="仿宋_GB2312" w:eastAsia="仿宋_GB2312" w:cs="仿宋_GB2312"/>
          <w:b/>
          <w:color w:val="auto"/>
        </w:rPr>
        <w:t>.发布公告的方式</w:t>
      </w:r>
      <w:bookmarkEnd w:id="71"/>
      <w:bookmarkEnd w:id="72"/>
      <w:bookmarkEnd w:id="73"/>
      <w:bookmarkEnd w:id="74"/>
      <w:bookmarkEnd w:id="75"/>
      <w:bookmarkEnd w:id="76"/>
      <w:bookmarkEnd w:id="77"/>
      <w:bookmarkEnd w:id="78"/>
    </w:p>
    <w:p w14:paraId="65E5FA97">
      <w:pPr>
        <w:spacing w:line="400" w:lineRule="exact"/>
        <w:ind w:firstLine="444" w:firstLineChars="202"/>
        <w:rPr>
          <w:rFonts w:hint="eastAsia" w:ascii="仿宋_GB2312" w:hAnsi="仿宋_GB2312" w:eastAsia="仿宋_GB2312" w:cs="仿宋_GB2312"/>
          <w:color w:val="auto"/>
          <w:szCs w:val="21"/>
        </w:rPr>
      </w:pPr>
      <w:bookmarkStart w:id="79" w:name="_Toc324410529"/>
      <w:bookmarkStart w:id="80" w:name="_Toc324064797"/>
      <w:bookmarkStart w:id="81" w:name="_Toc334192310"/>
      <w:bookmarkStart w:id="82" w:name="_Toc393729368"/>
      <w:r>
        <w:rPr>
          <w:rFonts w:hint="eastAsia" w:ascii="仿宋_GB2312" w:hAnsi="仿宋_GB2312" w:eastAsia="仿宋_GB2312" w:cs="仿宋_GB2312"/>
          <w:color w:val="auto"/>
          <w:u w:val="single"/>
          <w:lang w:eastAsia="zh-CN"/>
        </w:rPr>
        <w:t>甘孜州建设投资集团有限公司</w:t>
      </w:r>
      <w:r>
        <w:rPr>
          <w:rFonts w:hint="eastAsia" w:ascii="仿宋_GB2312" w:hAnsi="仿宋_GB2312" w:eastAsia="仿宋_GB2312" w:cs="仿宋_GB2312"/>
          <w:color w:val="auto"/>
          <w:u w:val="single"/>
          <w:lang w:val="en-US" w:eastAsia="zh-CN"/>
        </w:rPr>
        <w:t>官网</w:t>
      </w:r>
      <w:r>
        <w:rPr>
          <w:rFonts w:hint="eastAsia" w:ascii="仿宋_GB2312" w:hAnsi="仿宋_GB2312" w:eastAsia="仿宋_GB2312" w:cs="仿宋_GB2312"/>
          <w:color w:val="auto"/>
          <w:szCs w:val="21"/>
        </w:rPr>
        <w:t>（网址：</w:t>
      </w:r>
      <w:r>
        <w:rPr>
          <w:rFonts w:hint="eastAsia" w:ascii="仿宋_GB2312" w:hAnsi="仿宋_GB2312" w:eastAsia="仿宋_GB2312" w:cs="仿宋_GB2312"/>
          <w:color w:val="auto"/>
          <w:szCs w:val="21"/>
          <w:lang w:eastAsia="zh-CN"/>
        </w:rPr>
        <w:t>https://www.gzzjct.cn/</w:t>
      </w:r>
      <w:r>
        <w:rPr>
          <w:rFonts w:hint="eastAsia" w:ascii="仿宋_GB2312" w:hAnsi="仿宋_GB2312" w:eastAsia="仿宋_GB2312" w:cs="仿宋_GB2312"/>
          <w:color w:val="auto"/>
          <w:szCs w:val="21"/>
        </w:rPr>
        <w:t>）</w:t>
      </w:r>
    </w:p>
    <w:p w14:paraId="0E6048A0">
      <w:pPr>
        <w:pStyle w:val="14"/>
        <w:spacing w:line="360" w:lineRule="auto"/>
        <w:rPr>
          <w:rFonts w:hint="eastAsia" w:ascii="仿宋_GB2312" w:hAnsi="仿宋_GB2312" w:eastAsia="仿宋_GB2312" w:cs="仿宋_GB2312"/>
          <w:b/>
          <w:color w:val="auto"/>
          <w:sz w:val="27"/>
          <w:szCs w:val="27"/>
        </w:rPr>
      </w:pPr>
      <w:bookmarkStart w:id="83" w:name="_Toc12682"/>
      <w:bookmarkStart w:id="84" w:name="_Toc440899101"/>
      <w:bookmarkStart w:id="85" w:name="_Toc440314998"/>
      <w:bookmarkStart w:id="86" w:name="_Toc22858"/>
      <w:bookmarkStart w:id="87" w:name="_Toc1683"/>
      <w:bookmarkStart w:id="88" w:name="_Toc5307"/>
      <w:bookmarkStart w:id="89" w:name="_Toc440315393"/>
      <w:r>
        <w:rPr>
          <w:rFonts w:hint="eastAsia" w:ascii="仿宋_GB2312" w:hAnsi="仿宋_GB2312" w:eastAsia="仿宋_GB2312" w:cs="仿宋_GB2312"/>
          <w:b/>
          <w:color w:val="auto"/>
          <w:sz w:val="27"/>
          <w:szCs w:val="27"/>
          <w:lang w:val="en-US" w:eastAsia="zh-CN"/>
        </w:rPr>
        <w:t>9</w:t>
      </w:r>
      <w:r>
        <w:rPr>
          <w:rFonts w:hint="eastAsia" w:ascii="仿宋_GB2312" w:hAnsi="仿宋_GB2312" w:eastAsia="仿宋_GB2312" w:cs="仿宋_GB2312"/>
          <w:b/>
          <w:color w:val="auto"/>
          <w:sz w:val="27"/>
          <w:szCs w:val="27"/>
        </w:rPr>
        <w:t>.</w:t>
      </w:r>
      <w:r>
        <w:rPr>
          <w:rFonts w:hint="eastAsia" w:ascii="仿宋_GB2312" w:hAnsi="仿宋_GB2312" w:eastAsia="仿宋_GB2312" w:cs="仿宋_GB2312"/>
          <w:b/>
          <w:color w:val="auto"/>
        </w:rPr>
        <w:t>联系</w:t>
      </w:r>
      <w:r>
        <w:rPr>
          <w:rFonts w:hint="eastAsia" w:ascii="仿宋_GB2312" w:hAnsi="仿宋_GB2312" w:eastAsia="仿宋_GB2312" w:cs="仿宋_GB2312"/>
          <w:b/>
          <w:color w:val="auto"/>
          <w:sz w:val="27"/>
          <w:szCs w:val="27"/>
        </w:rPr>
        <w:t>方式</w:t>
      </w:r>
      <w:bookmarkEnd w:id="79"/>
      <w:bookmarkEnd w:id="80"/>
      <w:bookmarkEnd w:id="81"/>
      <w:bookmarkEnd w:id="82"/>
      <w:bookmarkEnd w:id="83"/>
      <w:bookmarkEnd w:id="84"/>
      <w:bookmarkEnd w:id="85"/>
      <w:bookmarkEnd w:id="86"/>
      <w:bookmarkEnd w:id="87"/>
      <w:bookmarkEnd w:id="88"/>
      <w:bookmarkEnd w:id="89"/>
    </w:p>
    <w:p w14:paraId="0AE27C74">
      <w:pPr>
        <w:tabs>
          <w:tab w:val="left" w:pos="993"/>
        </w:tabs>
        <w:ind w:firstLine="431" w:firstLineChars="196"/>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rPr>
        <w:t>9.1招标人：</w:t>
      </w:r>
      <w:r>
        <w:rPr>
          <w:rFonts w:hint="eastAsia" w:ascii="仿宋_GB2312" w:hAnsi="仿宋_GB2312" w:eastAsia="仿宋_GB2312" w:cs="仿宋_GB2312"/>
          <w:color w:val="auto"/>
          <w:szCs w:val="21"/>
          <w:highlight w:val="none"/>
          <w:lang w:eastAsia="zh-CN"/>
        </w:rPr>
        <w:t>甘孜州天路供应链管理有限公司</w:t>
      </w:r>
    </w:p>
    <w:p w14:paraId="1171FA9D">
      <w:pPr>
        <w:tabs>
          <w:tab w:val="left" w:pos="993"/>
        </w:tabs>
        <w:ind w:firstLine="431" w:firstLineChars="196"/>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9.2招标地点： </w:t>
      </w:r>
    </w:p>
    <w:p w14:paraId="76AD66FA">
      <w:pPr>
        <w:tabs>
          <w:tab w:val="left" w:pos="993"/>
        </w:tabs>
        <w:ind w:firstLine="770" w:firstLineChars="350"/>
        <w:rPr>
          <w:rFonts w:hint="eastAsia" w:ascii="仿宋_GB2312" w:hAnsi="仿宋_GB2312" w:eastAsia="仿宋_GB2312" w:cs="仿宋_GB2312"/>
          <w:color w:val="auto"/>
          <w:szCs w:val="21"/>
          <w:u w:val="single"/>
          <w:lang w:val="en-US" w:eastAsia="zh-CN"/>
        </w:rPr>
      </w:pPr>
      <w:r>
        <w:rPr>
          <w:rFonts w:hint="eastAsia" w:ascii="仿宋_GB2312" w:hAnsi="仿宋_GB2312" w:eastAsia="仿宋_GB2312" w:cs="仿宋_GB2312"/>
          <w:color w:val="auto"/>
          <w:szCs w:val="21"/>
        </w:rPr>
        <w:t>地    址：</w:t>
      </w:r>
      <w:r>
        <w:rPr>
          <w:rFonts w:hint="eastAsia" w:ascii="仿宋_GB2312" w:hAnsi="仿宋_GB2312" w:eastAsia="仿宋_GB2312" w:cs="仿宋_GB2312"/>
          <w:color w:val="auto"/>
          <w:u w:val="single"/>
        </w:rPr>
        <w:t>四川省甘孜藏族自治州康定市榆林街道榆磨路60号</w:t>
      </w:r>
    </w:p>
    <w:p w14:paraId="79BD8AF0">
      <w:pPr>
        <w:ind w:firstLine="770" w:firstLineChars="350"/>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 xml:space="preserve">联 系 人: </w:t>
      </w:r>
      <w:r>
        <w:rPr>
          <w:rFonts w:hint="eastAsia" w:ascii="仿宋_GB2312" w:hAnsi="仿宋_GB2312" w:eastAsia="仿宋_GB2312" w:cs="仿宋_GB2312"/>
          <w:color w:val="auto"/>
          <w:szCs w:val="21"/>
          <w:lang w:val="en-US" w:eastAsia="zh-CN"/>
        </w:rPr>
        <w:t>尚金金</w:t>
      </w:r>
      <w:r>
        <w:rPr>
          <w:rFonts w:hint="eastAsia" w:ascii="仿宋_GB2312" w:hAnsi="仿宋_GB2312" w:eastAsia="仿宋_GB2312" w:cs="仿宋_GB2312"/>
          <w:color w:val="auto"/>
          <w:szCs w:val="21"/>
        </w:rPr>
        <w:t xml:space="preserve">           电　　话:</w:t>
      </w:r>
      <w:r>
        <w:rPr>
          <w:rFonts w:hint="eastAsia" w:ascii="仿宋_GB2312" w:hAnsi="仿宋_GB2312" w:eastAsia="仿宋_GB2312" w:cs="仿宋_GB2312"/>
          <w:color w:val="auto"/>
          <w:sz w:val="24"/>
          <w:highlight w:val="none"/>
          <w:lang w:val="en-US" w:eastAsia="zh-CN" w:bidi="ar"/>
        </w:rPr>
        <w:t>15882184342</w:t>
      </w:r>
    </w:p>
    <w:p w14:paraId="6141CE74">
      <w:pPr>
        <w:ind w:firstLine="770" w:firstLineChars="350"/>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电子邮箱:</w:t>
      </w:r>
      <w:r>
        <w:rPr>
          <w:rFonts w:hint="eastAsia" w:ascii="仿宋_GB2312" w:hAnsi="仿宋_GB2312" w:eastAsia="仿宋_GB2312" w:cs="仿宋_GB2312"/>
          <w:color w:val="auto"/>
          <w:sz w:val="24"/>
          <w:highlight w:val="none"/>
          <w:lang w:val="en-US" w:eastAsia="zh-CN" w:bidi="ar"/>
        </w:rPr>
        <w:t>525590133@qq.com</w:t>
      </w:r>
    </w:p>
    <w:p w14:paraId="10FB0241">
      <w:pPr>
        <w:ind w:firstLine="770" w:firstLineChars="350"/>
        <w:rPr>
          <w:rFonts w:hint="default"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highlight w:val="none"/>
        </w:rPr>
        <w:t>监督</w:t>
      </w:r>
      <w:r>
        <w:rPr>
          <w:rFonts w:hint="eastAsia" w:ascii="仿宋_GB2312" w:hAnsi="仿宋_GB2312" w:eastAsia="仿宋_GB2312" w:cs="仿宋_GB2312"/>
          <w:color w:val="auto"/>
          <w:szCs w:val="21"/>
          <w:highlight w:val="none"/>
          <w:lang w:val="en-US" w:eastAsia="zh-CN"/>
        </w:rPr>
        <w:t>电话:</w:t>
      </w:r>
      <w:r>
        <w:rPr>
          <w:rFonts w:hint="eastAsia" w:ascii="仿宋_GB2312" w:hAnsi="仿宋_GB2312" w:eastAsia="仿宋_GB2312" w:cs="仿宋_GB2312"/>
          <w:color w:val="auto"/>
          <w:sz w:val="24"/>
          <w:highlight w:val="none"/>
          <w:lang w:val="en-US" w:eastAsia="zh-CN" w:bidi="ar"/>
        </w:rPr>
        <w:t>0836-2868961</w:t>
      </w:r>
    </w:p>
    <w:bookmarkEnd w:id="45"/>
    <w:bookmarkEnd w:id="46"/>
    <w:bookmarkEnd w:id="47"/>
    <w:bookmarkEnd w:id="48"/>
    <w:bookmarkEnd w:id="49"/>
    <w:bookmarkEnd w:id="50"/>
    <w:bookmarkEnd w:id="51"/>
    <w:p w14:paraId="1DE5FB90">
      <w:pPr>
        <w:tabs>
          <w:tab w:val="left" w:pos="5250"/>
        </w:tabs>
        <w:rPr>
          <w:rFonts w:hint="eastAsia" w:ascii="仿宋_GB2312" w:hAnsi="仿宋_GB2312" w:eastAsia="仿宋_GB2312" w:cs="仿宋_GB2312"/>
          <w:color w:val="000000"/>
          <w:sz w:val="28"/>
          <w:szCs w:val="28"/>
          <w:highlight w:val="yellow"/>
        </w:rPr>
      </w:pPr>
      <w:bookmarkStart w:id="93" w:name="_GoBack"/>
      <w:bookmarkEnd w:id="93"/>
    </w:p>
    <w:p w14:paraId="52ABD511">
      <w:pPr>
        <w:rPr>
          <w:rFonts w:hint="eastAsia" w:ascii="仿宋_GB2312" w:hAnsi="仿宋_GB2312" w:eastAsia="仿宋_GB2312" w:cs="仿宋_GB2312"/>
          <w:color w:val="000000"/>
          <w:sz w:val="28"/>
          <w:szCs w:val="28"/>
        </w:rPr>
        <w:sectPr>
          <w:pgSz w:w="11906" w:h="16838"/>
          <w:pgMar w:top="1134" w:right="1191" w:bottom="1134" w:left="1474" w:header="851" w:footer="1134" w:gutter="0"/>
          <w:pgNumType w:fmt="decimal" w:start="1"/>
          <w:cols w:space="720" w:num="1"/>
          <w:docGrid w:type="linesAndChars" w:linePitch="312" w:charSpace="0"/>
        </w:sectPr>
      </w:pPr>
    </w:p>
    <w:p w14:paraId="010A7CA6">
      <w:pPr>
        <w:wordWrap w:val="0"/>
        <w:ind w:right="560"/>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szCs w:val="24"/>
        </w:rPr>
        <w:t>附表1：</w:t>
      </w:r>
      <w:r>
        <w:rPr>
          <w:rFonts w:hint="eastAsia" w:ascii="仿宋_GB2312" w:hAnsi="仿宋_GB2312" w:eastAsia="仿宋_GB2312" w:cs="仿宋_GB2312"/>
          <w:b/>
          <w:color w:val="000000"/>
          <w:sz w:val="24"/>
        </w:rPr>
        <w:t>招标物资包件清单</w:t>
      </w:r>
    </w:p>
    <w:p w14:paraId="49274883">
      <w:pPr>
        <w:rPr>
          <w:rFonts w:hint="eastAsia" w:ascii="仿宋_GB2312" w:hAnsi="仿宋_GB2312" w:eastAsia="仿宋_GB2312" w:cs="仿宋_GB2312"/>
          <w:b/>
          <w:color w:val="000000"/>
          <w:sz w:val="18"/>
          <w:szCs w:val="18"/>
        </w:rPr>
      </w:pPr>
      <w:r>
        <w:rPr>
          <w:rFonts w:hint="eastAsia" w:ascii="仿宋_GB2312" w:hAnsi="仿宋_GB2312" w:eastAsia="仿宋_GB2312" w:cs="仿宋_GB2312"/>
          <w:color w:val="000000"/>
          <w:sz w:val="18"/>
          <w:szCs w:val="18"/>
        </w:rPr>
        <w:t>（以下数据仅作为初步依据，具体物资规格、数量以施工图为准）</w:t>
      </w:r>
    </w:p>
    <w:tbl>
      <w:tblPr>
        <w:tblStyle w:val="11"/>
        <w:tblW w:w="14535" w:type="dxa"/>
        <w:tblInd w:w="-269" w:type="dxa"/>
        <w:tblLayout w:type="fixed"/>
        <w:tblCellMar>
          <w:top w:w="0" w:type="dxa"/>
          <w:left w:w="15" w:type="dxa"/>
          <w:bottom w:w="0" w:type="dxa"/>
          <w:right w:w="15" w:type="dxa"/>
        </w:tblCellMar>
      </w:tblPr>
      <w:tblGrid>
        <w:gridCol w:w="409"/>
        <w:gridCol w:w="408"/>
        <w:gridCol w:w="682"/>
        <w:gridCol w:w="955"/>
        <w:gridCol w:w="409"/>
        <w:gridCol w:w="955"/>
        <w:gridCol w:w="829"/>
        <w:gridCol w:w="761"/>
        <w:gridCol w:w="651"/>
        <w:gridCol w:w="651"/>
        <w:gridCol w:w="7825"/>
      </w:tblGrid>
      <w:tr w14:paraId="4200F0EC">
        <w:tblPrEx>
          <w:tblCellMar>
            <w:top w:w="0" w:type="dxa"/>
            <w:left w:w="15" w:type="dxa"/>
            <w:bottom w:w="0" w:type="dxa"/>
            <w:right w:w="15" w:type="dxa"/>
          </w:tblCellMar>
        </w:tblPrEx>
        <w:trPr>
          <w:trHeight w:val="90" w:hRule="atLeast"/>
        </w:trPr>
        <w:tc>
          <w:tcPr>
            <w:tcW w:w="409" w:type="dxa"/>
            <w:tcBorders>
              <w:top w:val="single" w:color="000000" w:sz="4" w:space="0"/>
              <w:left w:val="single" w:color="000000" w:sz="4" w:space="0"/>
              <w:bottom w:val="single" w:color="auto" w:sz="4" w:space="0"/>
              <w:right w:val="single" w:color="000000" w:sz="4" w:space="0"/>
            </w:tcBorders>
            <w:vAlign w:val="center"/>
          </w:tcPr>
          <w:p w14:paraId="7DA72118">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序号</w:t>
            </w:r>
          </w:p>
        </w:tc>
        <w:tc>
          <w:tcPr>
            <w:tcW w:w="408" w:type="dxa"/>
            <w:tcBorders>
              <w:top w:val="single" w:color="000000" w:sz="4" w:space="0"/>
              <w:left w:val="single" w:color="000000" w:sz="4" w:space="0"/>
              <w:bottom w:val="single" w:color="auto" w:sz="4" w:space="0"/>
              <w:right w:val="single" w:color="000000" w:sz="4" w:space="0"/>
            </w:tcBorders>
            <w:vAlign w:val="center"/>
          </w:tcPr>
          <w:p w14:paraId="0F50E46A">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物资名称</w:t>
            </w:r>
          </w:p>
        </w:tc>
        <w:tc>
          <w:tcPr>
            <w:tcW w:w="682" w:type="dxa"/>
            <w:tcBorders>
              <w:top w:val="single" w:color="000000" w:sz="4" w:space="0"/>
              <w:left w:val="single" w:color="000000" w:sz="4" w:space="0"/>
              <w:bottom w:val="single" w:color="auto" w:sz="4" w:space="0"/>
              <w:right w:val="single" w:color="000000" w:sz="4" w:space="0"/>
            </w:tcBorders>
            <w:vAlign w:val="center"/>
          </w:tcPr>
          <w:p w14:paraId="62B9F7A0">
            <w:pPr>
              <w:autoSpaceDN w:val="0"/>
              <w:spacing w:line="260" w:lineRule="auto"/>
              <w:jc w:val="center"/>
              <w:textAlignment w:val="center"/>
              <w:rPr>
                <w:rFonts w:hint="eastAsia" w:ascii="仿宋_GB2312" w:hAnsi="仿宋_GB2312" w:eastAsia="仿宋_GB2312" w:cs="仿宋_GB2312"/>
                <w:b/>
                <w:color w:val="000000"/>
                <w:sz w:val="15"/>
                <w:szCs w:val="15"/>
                <w:lang w:eastAsia="zh-CN"/>
              </w:rPr>
            </w:pPr>
            <w:r>
              <w:rPr>
                <w:rFonts w:hint="eastAsia" w:ascii="仿宋_GB2312" w:hAnsi="仿宋_GB2312" w:eastAsia="仿宋_GB2312" w:cs="仿宋_GB2312"/>
                <w:b/>
                <w:color w:val="000000"/>
                <w:sz w:val="15"/>
                <w:szCs w:val="15"/>
              </w:rPr>
              <w:t>规格</w:t>
            </w:r>
          </w:p>
          <w:p w14:paraId="24E3B7E5">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型号</w:t>
            </w:r>
          </w:p>
        </w:tc>
        <w:tc>
          <w:tcPr>
            <w:tcW w:w="955" w:type="dxa"/>
            <w:tcBorders>
              <w:top w:val="single" w:color="000000" w:sz="4" w:space="0"/>
              <w:left w:val="single" w:color="000000" w:sz="4" w:space="0"/>
              <w:bottom w:val="single" w:color="auto" w:sz="4" w:space="0"/>
              <w:right w:val="single" w:color="000000" w:sz="4" w:space="0"/>
            </w:tcBorders>
            <w:vAlign w:val="center"/>
          </w:tcPr>
          <w:p w14:paraId="200068A1">
            <w:pPr>
              <w:autoSpaceDN w:val="0"/>
              <w:spacing w:line="260" w:lineRule="auto"/>
              <w:jc w:val="center"/>
              <w:textAlignment w:val="center"/>
              <w:rPr>
                <w:rFonts w:hint="eastAsia" w:ascii="仿宋_GB2312" w:hAnsi="仿宋_GB2312" w:eastAsia="仿宋_GB2312" w:cs="仿宋_GB2312"/>
                <w:b/>
                <w:color w:val="000000"/>
                <w:sz w:val="15"/>
                <w:szCs w:val="15"/>
                <w:lang w:val="en-US" w:eastAsia="zh-CN"/>
              </w:rPr>
            </w:pPr>
            <w:r>
              <w:rPr>
                <w:rFonts w:hint="eastAsia" w:ascii="仿宋_GB2312" w:hAnsi="仿宋_GB2312" w:eastAsia="仿宋_GB2312" w:cs="仿宋_GB2312"/>
                <w:b/>
                <w:color w:val="000000"/>
                <w:sz w:val="15"/>
                <w:szCs w:val="15"/>
                <w:lang w:val="en-US" w:eastAsia="zh-CN"/>
              </w:rPr>
              <w:t>招标编号</w:t>
            </w:r>
          </w:p>
        </w:tc>
        <w:tc>
          <w:tcPr>
            <w:tcW w:w="409" w:type="dxa"/>
            <w:tcBorders>
              <w:top w:val="single" w:color="000000" w:sz="4" w:space="0"/>
              <w:left w:val="single" w:color="000000" w:sz="4" w:space="0"/>
              <w:bottom w:val="single" w:color="auto" w:sz="4" w:space="0"/>
              <w:right w:val="single" w:color="000000" w:sz="4" w:space="0"/>
            </w:tcBorders>
            <w:vAlign w:val="center"/>
          </w:tcPr>
          <w:p w14:paraId="71D627C9">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计量单位</w:t>
            </w:r>
          </w:p>
        </w:tc>
        <w:tc>
          <w:tcPr>
            <w:tcW w:w="955" w:type="dxa"/>
            <w:tcBorders>
              <w:top w:val="single" w:color="000000" w:sz="4" w:space="0"/>
              <w:left w:val="single" w:color="000000" w:sz="4" w:space="0"/>
              <w:bottom w:val="single" w:color="auto" w:sz="4" w:space="0"/>
              <w:right w:val="single" w:color="000000" w:sz="4" w:space="0"/>
            </w:tcBorders>
            <w:vAlign w:val="center"/>
          </w:tcPr>
          <w:p w14:paraId="3F4A8792">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lang w:val="en-US" w:eastAsia="zh-CN"/>
              </w:rPr>
              <w:t>预估</w:t>
            </w:r>
            <w:r>
              <w:rPr>
                <w:rFonts w:hint="eastAsia" w:ascii="仿宋_GB2312" w:hAnsi="仿宋_GB2312" w:eastAsia="仿宋_GB2312" w:cs="仿宋_GB2312"/>
                <w:b/>
                <w:color w:val="000000"/>
                <w:sz w:val="15"/>
                <w:szCs w:val="15"/>
              </w:rPr>
              <w:t>数量</w:t>
            </w:r>
          </w:p>
        </w:tc>
        <w:tc>
          <w:tcPr>
            <w:tcW w:w="829" w:type="dxa"/>
            <w:tcBorders>
              <w:top w:val="single" w:color="000000" w:sz="4" w:space="0"/>
              <w:left w:val="single" w:color="000000" w:sz="4" w:space="0"/>
              <w:bottom w:val="single" w:color="auto" w:sz="4" w:space="0"/>
              <w:right w:val="single" w:color="000000" w:sz="4" w:space="0"/>
            </w:tcBorders>
            <w:vAlign w:val="center"/>
          </w:tcPr>
          <w:p w14:paraId="2AF7BFF5">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招标人名称</w:t>
            </w:r>
          </w:p>
        </w:tc>
        <w:tc>
          <w:tcPr>
            <w:tcW w:w="761" w:type="dxa"/>
            <w:tcBorders>
              <w:top w:val="single" w:color="000000" w:sz="4" w:space="0"/>
              <w:left w:val="single" w:color="000000" w:sz="4" w:space="0"/>
              <w:bottom w:val="single" w:color="auto" w:sz="4" w:space="0"/>
              <w:right w:val="single" w:color="auto" w:sz="4" w:space="0"/>
            </w:tcBorders>
            <w:vAlign w:val="center"/>
          </w:tcPr>
          <w:p w14:paraId="2F7D1FFD">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包件售价（元）</w:t>
            </w:r>
          </w:p>
        </w:tc>
        <w:tc>
          <w:tcPr>
            <w:tcW w:w="651" w:type="dxa"/>
            <w:tcBorders>
              <w:top w:val="single" w:color="000000" w:sz="4" w:space="0"/>
              <w:left w:val="single" w:color="auto" w:sz="4" w:space="0"/>
              <w:bottom w:val="single" w:color="auto" w:sz="4" w:space="0"/>
              <w:right w:val="single" w:color="000000" w:sz="4" w:space="0"/>
            </w:tcBorders>
            <w:vAlign w:val="center"/>
          </w:tcPr>
          <w:p w14:paraId="650D08AD">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rPr>
              <w:t>投标保证金（元）</w:t>
            </w:r>
          </w:p>
        </w:tc>
        <w:tc>
          <w:tcPr>
            <w:tcW w:w="651" w:type="dxa"/>
            <w:tcBorders>
              <w:top w:val="single" w:color="000000" w:sz="4" w:space="0"/>
              <w:left w:val="single" w:color="auto" w:sz="4" w:space="0"/>
              <w:bottom w:val="single" w:color="auto" w:sz="4" w:space="0"/>
              <w:right w:val="single" w:color="000000" w:sz="4" w:space="0"/>
            </w:tcBorders>
            <w:vAlign w:val="center"/>
          </w:tcPr>
          <w:p w14:paraId="4B54D36B">
            <w:pPr>
              <w:autoSpaceDN w:val="0"/>
              <w:spacing w:line="260" w:lineRule="auto"/>
              <w:jc w:val="center"/>
              <w:textAlignment w:val="center"/>
              <w:rPr>
                <w:rFonts w:hint="eastAsia" w:ascii="仿宋_GB2312" w:hAnsi="仿宋_GB2312" w:eastAsia="仿宋_GB2312" w:cs="仿宋_GB2312"/>
                <w:b/>
                <w:color w:val="000000"/>
                <w:sz w:val="15"/>
                <w:szCs w:val="15"/>
              </w:rPr>
            </w:pPr>
            <w:r>
              <w:rPr>
                <w:rFonts w:hint="eastAsia" w:ascii="仿宋_GB2312" w:hAnsi="仿宋_GB2312" w:eastAsia="仿宋_GB2312" w:cs="仿宋_GB2312"/>
                <w:b/>
                <w:color w:val="000000"/>
                <w:sz w:val="15"/>
                <w:szCs w:val="15"/>
                <w:lang w:val="en-US" w:eastAsia="zh-CN"/>
              </w:rPr>
              <w:t>含税最高投标限价</w:t>
            </w:r>
            <w:r>
              <w:rPr>
                <w:rFonts w:hint="eastAsia" w:ascii="仿宋_GB2312" w:hAnsi="仿宋_GB2312" w:eastAsia="仿宋_GB2312" w:cs="仿宋_GB2312"/>
                <w:b/>
                <w:color w:val="000000"/>
                <w:sz w:val="15"/>
                <w:szCs w:val="15"/>
              </w:rPr>
              <w:t>（</w:t>
            </w:r>
            <w:r>
              <w:rPr>
                <w:rFonts w:hint="eastAsia" w:ascii="仿宋_GB2312" w:hAnsi="仿宋_GB2312" w:eastAsia="仿宋_GB2312" w:cs="仿宋_GB2312"/>
                <w:b/>
                <w:color w:val="000000"/>
                <w:sz w:val="15"/>
                <w:szCs w:val="15"/>
                <w:lang w:val="en-US" w:eastAsia="zh-CN"/>
              </w:rPr>
              <w:t>万</w:t>
            </w:r>
            <w:r>
              <w:rPr>
                <w:rFonts w:hint="eastAsia" w:ascii="仿宋_GB2312" w:hAnsi="仿宋_GB2312" w:eastAsia="仿宋_GB2312" w:cs="仿宋_GB2312"/>
                <w:b/>
                <w:color w:val="000000"/>
                <w:sz w:val="15"/>
                <w:szCs w:val="15"/>
              </w:rPr>
              <w:t>元）</w:t>
            </w:r>
          </w:p>
        </w:tc>
        <w:tc>
          <w:tcPr>
            <w:tcW w:w="7825" w:type="dxa"/>
            <w:tcBorders>
              <w:top w:val="single" w:color="000000" w:sz="4" w:space="0"/>
              <w:left w:val="single" w:color="000000" w:sz="4" w:space="0"/>
              <w:bottom w:val="single" w:color="auto" w:sz="4" w:space="0"/>
              <w:right w:val="single" w:color="000000" w:sz="4" w:space="0"/>
            </w:tcBorders>
            <w:vAlign w:val="center"/>
          </w:tcPr>
          <w:p w14:paraId="54881349">
            <w:pPr>
              <w:autoSpaceDN w:val="0"/>
              <w:spacing w:line="260" w:lineRule="auto"/>
              <w:jc w:val="center"/>
              <w:textAlignment w:val="center"/>
              <w:rPr>
                <w:rFonts w:hint="eastAsia" w:ascii="仿宋_GB2312" w:hAnsi="仿宋_GB2312" w:eastAsia="仿宋_GB2312" w:cs="仿宋_GB2312"/>
                <w:b/>
                <w:color w:val="000000"/>
                <w:sz w:val="20"/>
              </w:rPr>
            </w:pPr>
            <w:r>
              <w:rPr>
                <w:rFonts w:hint="eastAsia" w:ascii="仿宋_GB2312" w:hAnsi="仿宋_GB2312" w:eastAsia="仿宋_GB2312" w:cs="仿宋_GB2312"/>
                <w:b/>
                <w:color w:val="000000"/>
                <w:sz w:val="20"/>
              </w:rPr>
              <w:t>投标人资格条件</w:t>
            </w:r>
          </w:p>
        </w:tc>
      </w:tr>
      <w:tr w14:paraId="6C9D78A7">
        <w:tblPrEx>
          <w:tblCellMar>
            <w:top w:w="0" w:type="dxa"/>
            <w:left w:w="15" w:type="dxa"/>
            <w:bottom w:w="0" w:type="dxa"/>
            <w:right w:w="15" w:type="dxa"/>
          </w:tblCellMar>
        </w:tblPrEx>
        <w:trPr>
          <w:trHeight w:val="90" w:hRule="atLeast"/>
        </w:trPr>
        <w:tc>
          <w:tcPr>
            <w:tcW w:w="409" w:type="dxa"/>
            <w:tcBorders>
              <w:top w:val="single" w:color="auto" w:sz="4" w:space="0"/>
              <w:left w:val="single" w:color="auto" w:sz="4" w:space="0"/>
              <w:bottom w:val="single" w:color="auto" w:sz="4" w:space="0"/>
              <w:right w:val="single" w:color="auto" w:sz="4" w:space="0"/>
            </w:tcBorders>
            <w:vAlign w:val="center"/>
          </w:tcPr>
          <w:p w14:paraId="102F335F">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1</w:t>
            </w:r>
          </w:p>
        </w:tc>
        <w:tc>
          <w:tcPr>
            <w:tcW w:w="408" w:type="dxa"/>
            <w:tcBorders>
              <w:top w:val="single" w:color="auto" w:sz="4" w:space="0"/>
              <w:left w:val="single" w:color="auto" w:sz="4" w:space="0"/>
              <w:bottom w:val="single" w:color="auto" w:sz="4" w:space="0"/>
              <w:right w:val="single" w:color="auto" w:sz="4" w:space="0"/>
            </w:tcBorders>
            <w:vAlign w:val="center"/>
          </w:tcPr>
          <w:p w14:paraId="466DECFF">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水泥</w:t>
            </w:r>
          </w:p>
        </w:tc>
        <w:tc>
          <w:tcPr>
            <w:tcW w:w="682" w:type="dxa"/>
            <w:tcBorders>
              <w:top w:val="single" w:color="auto" w:sz="4" w:space="0"/>
              <w:left w:val="single" w:color="auto" w:sz="4" w:space="0"/>
              <w:bottom w:val="single" w:color="auto" w:sz="4" w:space="0"/>
              <w:right w:val="single" w:color="auto" w:sz="4" w:space="0"/>
            </w:tcBorders>
            <w:vAlign w:val="center"/>
          </w:tcPr>
          <w:p w14:paraId="1A815A06">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见技术规格书</w:t>
            </w:r>
          </w:p>
        </w:tc>
        <w:tc>
          <w:tcPr>
            <w:tcW w:w="955" w:type="dxa"/>
            <w:tcBorders>
              <w:top w:val="single" w:color="auto" w:sz="4" w:space="0"/>
              <w:left w:val="single" w:color="auto" w:sz="4" w:space="0"/>
              <w:bottom w:val="single" w:color="auto" w:sz="4" w:space="0"/>
              <w:right w:val="single" w:color="auto" w:sz="4" w:space="0"/>
            </w:tcBorders>
            <w:vAlign w:val="center"/>
          </w:tcPr>
          <w:p w14:paraId="7E9E9C37">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GYL/CG/2025/006</w:t>
            </w:r>
          </w:p>
        </w:tc>
        <w:tc>
          <w:tcPr>
            <w:tcW w:w="409" w:type="dxa"/>
            <w:tcBorders>
              <w:top w:val="single" w:color="auto" w:sz="4" w:space="0"/>
              <w:left w:val="single" w:color="auto" w:sz="4" w:space="0"/>
              <w:bottom w:val="single" w:color="auto" w:sz="4" w:space="0"/>
              <w:right w:val="single" w:color="auto" w:sz="4" w:space="0"/>
            </w:tcBorders>
            <w:vAlign w:val="center"/>
          </w:tcPr>
          <w:p w14:paraId="522A3A9C">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吨</w:t>
            </w:r>
          </w:p>
        </w:tc>
        <w:tc>
          <w:tcPr>
            <w:tcW w:w="955" w:type="dxa"/>
            <w:tcBorders>
              <w:top w:val="single" w:color="auto" w:sz="4" w:space="0"/>
              <w:left w:val="single" w:color="auto" w:sz="4" w:space="0"/>
              <w:bottom w:val="single" w:color="auto" w:sz="4" w:space="0"/>
              <w:right w:val="single" w:color="auto" w:sz="4" w:space="0"/>
            </w:tcBorders>
            <w:vAlign w:val="center"/>
          </w:tcPr>
          <w:p w14:paraId="76ABB926">
            <w:pPr>
              <w:spacing w:line="300" w:lineRule="exact"/>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9200</w:t>
            </w:r>
          </w:p>
        </w:tc>
        <w:tc>
          <w:tcPr>
            <w:tcW w:w="829" w:type="dxa"/>
            <w:tcBorders>
              <w:top w:val="single" w:color="auto" w:sz="4" w:space="0"/>
              <w:left w:val="single" w:color="auto" w:sz="4" w:space="0"/>
              <w:bottom w:val="single" w:color="auto" w:sz="4" w:space="0"/>
              <w:right w:val="single" w:color="auto" w:sz="4" w:space="0"/>
            </w:tcBorders>
            <w:vAlign w:val="center"/>
          </w:tcPr>
          <w:p w14:paraId="4FBEA68F">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甘孜州天路供应链管理有限公司</w:t>
            </w:r>
          </w:p>
        </w:tc>
        <w:tc>
          <w:tcPr>
            <w:tcW w:w="761" w:type="dxa"/>
            <w:tcBorders>
              <w:top w:val="single" w:color="auto" w:sz="4" w:space="0"/>
              <w:left w:val="single" w:color="auto" w:sz="4" w:space="0"/>
              <w:bottom w:val="single" w:color="auto" w:sz="4" w:space="0"/>
              <w:right w:val="single" w:color="auto" w:sz="4" w:space="0"/>
            </w:tcBorders>
            <w:vAlign w:val="center"/>
          </w:tcPr>
          <w:p w14:paraId="5B1F048F">
            <w:pPr>
              <w:spacing w:line="300" w:lineRule="exact"/>
              <w:jc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0</w:t>
            </w:r>
          </w:p>
        </w:tc>
        <w:tc>
          <w:tcPr>
            <w:tcW w:w="651" w:type="dxa"/>
            <w:tcBorders>
              <w:top w:val="single" w:color="auto" w:sz="4" w:space="0"/>
              <w:left w:val="single" w:color="auto" w:sz="4" w:space="0"/>
              <w:bottom w:val="single" w:color="auto" w:sz="4" w:space="0"/>
              <w:right w:val="single" w:color="auto" w:sz="4" w:space="0"/>
            </w:tcBorders>
            <w:vAlign w:val="center"/>
          </w:tcPr>
          <w:p w14:paraId="0DF684E2">
            <w:pPr>
              <w:spacing w:line="300" w:lineRule="exact"/>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2000</w:t>
            </w:r>
          </w:p>
        </w:tc>
        <w:tc>
          <w:tcPr>
            <w:tcW w:w="651" w:type="dxa"/>
            <w:tcBorders>
              <w:top w:val="single" w:color="auto" w:sz="4" w:space="0"/>
              <w:left w:val="single" w:color="auto" w:sz="4" w:space="0"/>
              <w:bottom w:val="single" w:color="auto" w:sz="4" w:space="0"/>
              <w:right w:val="single" w:color="auto" w:sz="4" w:space="0"/>
            </w:tcBorders>
            <w:vAlign w:val="center"/>
          </w:tcPr>
          <w:p w14:paraId="7998C2D9">
            <w:pPr>
              <w:spacing w:line="300" w:lineRule="exact"/>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506</w:t>
            </w:r>
          </w:p>
        </w:tc>
        <w:tc>
          <w:tcPr>
            <w:tcW w:w="7825" w:type="dxa"/>
            <w:tcBorders>
              <w:top w:val="single" w:color="auto" w:sz="4" w:space="0"/>
              <w:left w:val="single" w:color="auto" w:sz="4" w:space="0"/>
              <w:bottom w:val="single" w:color="auto" w:sz="4" w:space="0"/>
              <w:right w:val="single" w:color="auto" w:sz="4" w:space="0"/>
            </w:tcBorders>
          </w:tcPr>
          <w:p w14:paraId="4088F3E6">
            <w:pPr>
              <w:spacing w:line="300" w:lineRule="exact"/>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投标人资格要求</w:t>
            </w:r>
          </w:p>
          <w:p w14:paraId="5BB56682">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1.营业范围要求：在中华人民共和国境内依法注册</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具有独立法人资格、具有</w:t>
            </w:r>
            <w:r>
              <w:rPr>
                <w:rFonts w:hint="eastAsia" w:ascii="仿宋_GB2312" w:hAnsi="仿宋_GB2312" w:eastAsia="仿宋_GB2312" w:cs="仿宋_GB2312"/>
                <w:sz w:val="22"/>
                <w:szCs w:val="22"/>
                <w:lang w:eastAsia="zh-CN"/>
              </w:rPr>
              <w:t>询价</w:t>
            </w:r>
            <w:r>
              <w:rPr>
                <w:rFonts w:hint="eastAsia" w:ascii="仿宋_GB2312" w:hAnsi="仿宋_GB2312" w:eastAsia="仿宋_GB2312" w:cs="仿宋_GB2312"/>
                <w:sz w:val="22"/>
                <w:szCs w:val="22"/>
              </w:rPr>
              <w:t>物资生产和供应经验的生产厂家或代理商，并且具有合法、有效的营业执照、税务登记证书、组织机构代码证书</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基本账户信息等，</w:t>
            </w:r>
            <w:r>
              <w:rPr>
                <w:rFonts w:hint="eastAsia" w:ascii="仿宋_GB2312" w:hAnsi="仿宋_GB2312" w:eastAsia="仿宋_GB2312" w:cs="仿宋_GB2312"/>
                <w:sz w:val="22"/>
                <w:szCs w:val="22"/>
                <w:lang w:eastAsia="zh-CN"/>
              </w:rPr>
              <w:t>报价</w:t>
            </w:r>
            <w:r>
              <w:rPr>
                <w:rFonts w:hint="eastAsia" w:ascii="仿宋_GB2312" w:hAnsi="仿宋_GB2312" w:eastAsia="仿宋_GB2312" w:cs="仿宋_GB2312"/>
                <w:sz w:val="22"/>
                <w:szCs w:val="22"/>
              </w:rPr>
              <w:t>人注册资金不低于</w:t>
            </w:r>
            <w:r>
              <w:rPr>
                <w:rFonts w:hint="eastAsia" w:ascii="仿宋_GB2312" w:hAnsi="仿宋_GB2312" w:eastAsia="仿宋_GB2312" w:cs="仿宋_GB2312"/>
                <w:sz w:val="22"/>
                <w:szCs w:val="22"/>
                <w:lang w:val="en-US" w:eastAsia="zh-CN"/>
              </w:rPr>
              <w:t>10</w:t>
            </w:r>
            <w:r>
              <w:rPr>
                <w:rFonts w:hint="eastAsia" w:ascii="仿宋_GB2312" w:hAnsi="仿宋_GB2312" w:eastAsia="仿宋_GB2312" w:cs="仿宋_GB2312"/>
                <w:sz w:val="22"/>
                <w:szCs w:val="22"/>
              </w:rPr>
              <w:t>00万元人民币。</w:t>
            </w:r>
          </w:p>
          <w:p w14:paraId="1849905E">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2.质量保证能力要求：具有取得资质认定的省、部级或以上专业检测机构出具的至少</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份近</w:t>
            </w:r>
            <w:r>
              <w:rPr>
                <w:rFonts w:hint="eastAsia" w:ascii="仿宋_GB2312" w:hAnsi="仿宋_GB2312" w:eastAsia="仿宋_GB2312" w:cs="仿宋_GB2312"/>
                <w:sz w:val="22"/>
                <w:szCs w:val="22"/>
                <w:lang w:val="en-US" w:eastAsia="zh-CN"/>
              </w:rPr>
              <w:t>三</w:t>
            </w:r>
            <w:r>
              <w:rPr>
                <w:rFonts w:hint="eastAsia" w:ascii="仿宋_GB2312" w:hAnsi="仿宋_GB2312" w:eastAsia="仿宋_GB2312" w:cs="仿宋_GB2312"/>
                <w:sz w:val="22"/>
                <w:szCs w:val="22"/>
              </w:rPr>
              <w:t>年</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近三年是指2022年9月至2025年8月，下同）</w:t>
            </w:r>
            <w:r>
              <w:rPr>
                <w:rFonts w:hint="eastAsia" w:ascii="仿宋_GB2312" w:hAnsi="仿宋_GB2312" w:eastAsia="仿宋_GB2312" w:cs="仿宋_GB2312"/>
                <w:sz w:val="22"/>
                <w:szCs w:val="22"/>
              </w:rPr>
              <w:t>内</w:t>
            </w:r>
            <w:r>
              <w:rPr>
                <w:rFonts w:hint="eastAsia" w:ascii="仿宋_GB2312" w:hAnsi="仿宋_GB2312" w:eastAsia="仿宋_GB2312" w:cs="仿宋_GB2312"/>
                <w:sz w:val="22"/>
                <w:szCs w:val="22"/>
                <w:lang w:val="en-US" w:eastAsia="zh-CN"/>
              </w:rPr>
              <w:t>报价</w:t>
            </w:r>
            <w:r>
              <w:rPr>
                <w:rFonts w:hint="eastAsia" w:ascii="仿宋_GB2312" w:hAnsi="仿宋_GB2312" w:eastAsia="仿宋_GB2312" w:cs="仿宋_GB2312"/>
                <w:sz w:val="22"/>
                <w:szCs w:val="22"/>
              </w:rPr>
              <w:t>物资质量检验报告。</w:t>
            </w:r>
          </w:p>
          <w:p w14:paraId="46B44C12">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3.履约信用要求：具有良好的社会信誉，</w:t>
            </w:r>
            <w:r>
              <w:rPr>
                <w:rFonts w:hint="eastAsia" w:ascii="仿宋_GB2312" w:hAnsi="仿宋_GB2312" w:eastAsia="仿宋_GB2312" w:cs="仿宋_GB2312"/>
                <w:sz w:val="22"/>
                <w:szCs w:val="22"/>
                <w:lang w:val="en-US" w:eastAsia="zh-CN"/>
              </w:rPr>
              <w:t>近三</w:t>
            </w:r>
            <w:r>
              <w:rPr>
                <w:rFonts w:hint="eastAsia" w:ascii="仿宋_GB2312" w:hAnsi="仿宋_GB2312" w:eastAsia="仿宋_GB2312" w:cs="仿宋_GB2312"/>
                <w:sz w:val="22"/>
                <w:szCs w:val="22"/>
              </w:rPr>
              <w:t>年内没有与骗取合同有关的犯罪或严重违法行为而引起的诉讼和仲裁；最近</w:t>
            </w:r>
            <w:r>
              <w:rPr>
                <w:rFonts w:hint="eastAsia" w:ascii="仿宋_GB2312" w:hAnsi="仿宋_GB2312" w:eastAsia="仿宋_GB2312" w:cs="仿宋_GB2312"/>
                <w:sz w:val="22"/>
                <w:szCs w:val="22"/>
                <w:lang w:val="en-US" w:eastAsia="zh-CN"/>
              </w:rPr>
              <w:t>三</w:t>
            </w:r>
            <w:r>
              <w:rPr>
                <w:rFonts w:hint="eastAsia" w:ascii="仿宋_GB2312" w:hAnsi="仿宋_GB2312" w:eastAsia="仿宋_GB2312" w:cs="仿宋_GB2312"/>
                <w:sz w:val="22"/>
                <w:szCs w:val="22"/>
              </w:rPr>
              <w:t>年内不曾在合同中严重违约或被逐；财产未被接管或冻结，企业未处于禁止或取消</w:t>
            </w:r>
            <w:r>
              <w:rPr>
                <w:rFonts w:hint="eastAsia" w:ascii="仿宋_GB2312" w:hAnsi="仿宋_GB2312" w:eastAsia="仿宋_GB2312" w:cs="仿宋_GB2312"/>
                <w:sz w:val="22"/>
                <w:szCs w:val="22"/>
                <w:lang w:eastAsia="zh-CN"/>
              </w:rPr>
              <w:t>报价</w:t>
            </w:r>
            <w:r>
              <w:rPr>
                <w:rFonts w:hint="eastAsia" w:ascii="仿宋_GB2312" w:hAnsi="仿宋_GB2312" w:eastAsia="仿宋_GB2312" w:cs="仿宋_GB2312"/>
                <w:sz w:val="22"/>
                <w:szCs w:val="22"/>
              </w:rPr>
              <w:t>状态。</w:t>
            </w:r>
          </w:p>
          <w:p w14:paraId="361E60B4">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r>
              <w:rPr>
                <w:rFonts w:hint="eastAsia" w:ascii="仿宋_GB2312" w:hAnsi="仿宋_GB2312" w:eastAsia="仿宋_GB2312" w:cs="仿宋_GB2312"/>
                <w:sz w:val="22"/>
                <w:szCs w:val="22"/>
                <w:lang w:val="en-US" w:eastAsia="zh-CN"/>
              </w:rPr>
              <w:t>供货</w:t>
            </w:r>
            <w:r>
              <w:rPr>
                <w:rFonts w:hint="eastAsia" w:ascii="仿宋_GB2312" w:hAnsi="仿宋_GB2312" w:eastAsia="仿宋_GB2312" w:cs="仿宋_GB2312"/>
                <w:sz w:val="22"/>
                <w:szCs w:val="22"/>
              </w:rPr>
              <w:t>能力</w:t>
            </w:r>
            <w:r>
              <w:rPr>
                <w:rFonts w:hint="eastAsia" w:ascii="仿宋_GB2312" w:hAnsi="仿宋_GB2312" w:eastAsia="仿宋_GB2312" w:cs="仿宋_GB2312"/>
                <w:sz w:val="22"/>
                <w:szCs w:val="22"/>
                <w:lang w:val="en-US" w:eastAsia="zh-CN"/>
              </w:rPr>
              <w:t>及业绩</w:t>
            </w:r>
            <w:r>
              <w:rPr>
                <w:rFonts w:hint="eastAsia" w:ascii="仿宋_GB2312" w:hAnsi="仿宋_GB2312" w:eastAsia="仿宋_GB2312" w:cs="仿宋_GB2312"/>
                <w:sz w:val="22"/>
                <w:szCs w:val="22"/>
              </w:rPr>
              <w:t>要求：满足现场需求，质量达标</w:t>
            </w:r>
            <w:r>
              <w:rPr>
                <w:rFonts w:hint="eastAsia" w:ascii="仿宋_GB2312" w:hAnsi="仿宋_GB2312" w:eastAsia="仿宋_GB2312" w:cs="仿宋_GB2312"/>
                <w:sz w:val="22"/>
                <w:szCs w:val="22"/>
                <w:lang w:val="en-US" w:eastAsia="zh-CN"/>
              </w:rPr>
              <w:t>且</w:t>
            </w:r>
            <w:r>
              <w:rPr>
                <w:rFonts w:hint="eastAsia" w:ascii="仿宋_GB2312" w:hAnsi="仿宋_GB2312" w:eastAsia="仿宋_GB2312" w:cs="仿宋_GB2312"/>
                <w:sz w:val="22"/>
                <w:szCs w:val="22"/>
              </w:rPr>
              <w:t>企业近</w:t>
            </w:r>
            <w:r>
              <w:rPr>
                <w:rFonts w:hint="eastAsia" w:ascii="仿宋_GB2312" w:hAnsi="仿宋_GB2312" w:eastAsia="仿宋_GB2312" w:cs="仿宋_GB2312"/>
                <w:sz w:val="22"/>
                <w:szCs w:val="22"/>
                <w:lang w:val="en-US" w:eastAsia="zh-CN"/>
              </w:rPr>
              <w:t>三</w:t>
            </w:r>
            <w:r>
              <w:rPr>
                <w:rFonts w:hint="eastAsia" w:ascii="仿宋_GB2312" w:hAnsi="仿宋_GB2312" w:eastAsia="仿宋_GB2312" w:cs="仿宋_GB2312"/>
                <w:sz w:val="22"/>
                <w:szCs w:val="22"/>
              </w:rPr>
              <w:t>年来承担过2个及以上同类或类似产品供货业绩，且产品质量、交货、服务能够满足生产要求（需提供业绩合同）。</w:t>
            </w:r>
          </w:p>
          <w:p w14:paraId="245B520D">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5.财务能力要求：具备近3年</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2022、2023、2024）</w:t>
            </w:r>
            <w:r>
              <w:rPr>
                <w:rFonts w:hint="eastAsia" w:ascii="仿宋_GB2312" w:hAnsi="仿宋_GB2312" w:eastAsia="仿宋_GB2312" w:cs="仿宋_GB2312"/>
                <w:sz w:val="22"/>
                <w:szCs w:val="22"/>
              </w:rPr>
              <w:t>经审计的财务报表</w:t>
            </w:r>
            <w:r>
              <w:rPr>
                <w:rFonts w:hint="eastAsia" w:ascii="仿宋_GB2312" w:hAnsi="仿宋_GB2312" w:eastAsia="仿宋_GB2312" w:cs="仿宋_GB2312"/>
                <w:sz w:val="22"/>
                <w:szCs w:val="22"/>
                <w:lang w:val="en-US" w:eastAsia="zh-CN"/>
              </w:rPr>
              <w:t>数据</w:t>
            </w: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提供2024年财报，</w:t>
            </w:r>
            <w:r>
              <w:rPr>
                <w:rFonts w:hint="eastAsia" w:ascii="仿宋_GB2312" w:hAnsi="仿宋_GB2312" w:eastAsia="仿宋_GB2312" w:cs="仿宋_GB2312"/>
                <w:sz w:val="22"/>
                <w:szCs w:val="22"/>
              </w:rPr>
              <w:t>财务报表应附经会计师事务所或审计机构审计的财务会计报表，包括资产负债表、现金流量表、利润表和财务情况说明书的复印件〔合伙会计师事务所出具的审计报告，应当由一名对审计项目负最终复核责任的合伙人和一名负责该项目的注册会计师签名盖章（合伙人签字的，需提供签字人是事务所合伙人的证明材料）；有限责任会计师事务所出具的审计报告，应当由会计师事务所主任会计师或其授权的副主任会计师和一名负责该项目的注册会计师签名盖章（若非主任会计师签字，需提供主任会计师向签字人的相关授权材料）〕；</w:t>
            </w:r>
          </w:p>
          <w:p w14:paraId="0F7E3247">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注：若无法提供经审计的财务报表，则可提供未审计的财务报表（包括资产负债表、现金流量表、利润表和财务情况说明书的复印件）和对财务报表真实性的承诺函(格式自拟），上述资料逐页加盖供应商公章。</w:t>
            </w:r>
          </w:p>
          <w:p w14:paraId="401E3E1D">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具有良好的资金财务状况，</w:t>
            </w:r>
            <w:r>
              <w:rPr>
                <w:rFonts w:hint="eastAsia" w:ascii="仿宋_GB2312" w:hAnsi="仿宋_GB2312" w:eastAsia="仿宋_GB2312" w:cs="仿宋_GB2312"/>
                <w:sz w:val="22"/>
                <w:szCs w:val="22"/>
                <w:lang w:eastAsia="zh-CN"/>
              </w:rPr>
              <w:t>报价</w:t>
            </w:r>
            <w:r>
              <w:rPr>
                <w:rFonts w:hint="eastAsia" w:ascii="仿宋_GB2312" w:hAnsi="仿宋_GB2312" w:eastAsia="仿宋_GB2312" w:cs="仿宋_GB2312"/>
                <w:sz w:val="22"/>
                <w:szCs w:val="22"/>
              </w:rPr>
              <w:t>人注册资金不低于</w:t>
            </w:r>
            <w:r>
              <w:rPr>
                <w:rFonts w:hint="eastAsia" w:ascii="仿宋_GB2312" w:hAnsi="仿宋_GB2312" w:eastAsia="仿宋_GB2312" w:cs="仿宋_GB2312"/>
                <w:sz w:val="22"/>
                <w:szCs w:val="22"/>
                <w:lang w:val="en-US" w:eastAsia="zh-CN"/>
              </w:rPr>
              <w:t>10</w:t>
            </w:r>
            <w:r>
              <w:rPr>
                <w:rFonts w:hint="eastAsia" w:ascii="仿宋_GB2312" w:hAnsi="仿宋_GB2312" w:eastAsia="仿宋_GB2312" w:cs="仿宋_GB2312"/>
                <w:sz w:val="22"/>
                <w:szCs w:val="22"/>
              </w:rPr>
              <w:t>00万元人民币。</w:t>
            </w:r>
          </w:p>
          <w:p w14:paraId="43298B8A">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6.须开具增值税专用发票。</w:t>
            </w:r>
          </w:p>
          <w:p w14:paraId="536C3808">
            <w:pPr>
              <w:spacing w:line="300" w:lineRule="exac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w:t>
            </w:r>
            <w:r>
              <w:rPr>
                <w:rFonts w:hint="eastAsia" w:ascii="仿宋_GB2312" w:hAnsi="仿宋_GB2312" w:eastAsia="仿宋_GB2312" w:cs="仿宋_GB2312"/>
                <w:sz w:val="22"/>
                <w:szCs w:val="22"/>
                <w:lang w:val="en-US" w:eastAsia="zh-CN"/>
              </w:rPr>
              <w:t>其他</w:t>
            </w:r>
            <w:r>
              <w:rPr>
                <w:rFonts w:hint="eastAsia" w:ascii="仿宋_GB2312" w:hAnsi="仿宋_GB2312" w:eastAsia="仿宋_GB2312" w:cs="仿宋_GB2312"/>
                <w:sz w:val="22"/>
                <w:szCs w:val="22"/>
              </w:rPr>
              <w:t>要求：无不良产品质量记录；最近</w:t>
            </w:r>
            <w:r>
              <w:rPr>
                <w:rFonts w:hint="eastAsia" w:ascii="仿宋_GB2312" w:hAnsi="仿宋_GB2312" w:eastAsia="仿宋_GB2312" w:cs="仿宋_GB2312"/>
                <w:sz w:val="22"/>
                <w:szCs w:val="22"/>
                <w:lang w:val="en-US" w:eastAsia="zh-CN"/>
              </w:rPr>
              <w:t>三</w:t>
            </w:r>
            <w:r>
              <w:rPr>
                <w:rFonts w:hint="eastAsia" w:ascii="仿宋_GB2312" w:hAnsi="仿宋_GB2312" w:eastAsia="仿宋_GB2312" w:cs="仿宋_GB2312"/>
                <w:sz w:val="22"/>
                <w:szCs w:val="22"/>
              </w:rPr>
              <w:t>年内没有因骗取合同等严重违法行为而引起的诉讼和仲裁。</w:t>
            </w:r>
          </w:p>
          <w:p w14:paraId="5EDA3F72">
            <w:pPr>
              <w:spacing w:line="300" w:lineRule="exac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8.能提供不低于拟承揽合同总价的40%及以上垫资能力的盖章承诺函。</w:t>
            </w:r>
          </w:p>
          <w:p w14:paraId="535394DD">
            <w:pPr>
              <w:pStyle w:val="10"/>
              <w:ind w:left="0" w:leftChars="0" w:firstLine="0" w:firstLineChars="0"/>
              <w:rPr>
                <w:rFonts w:hint="eastAsia" w:ascii="仿宋_GB2312" w:hAnsi="仿宋_GB2312" w:eastAsia="仿宋_GB2312" w:cs="仿宋_GB2312"/>
                <w:sz w:val="22"/>
                <w:szCs w:val="22"/>
                <w:lang w:val="en-US"/>
              </w:rPr>
            </w:pPr>
            <w:r>
              <w:rPr>
                <w:rFonts w:hint="eastAsia" w:ascii="仿宋_GB2312" w:hAnsi="仿宋_GB2312" w:eastAsia="仿宋_GB2312" w:cs="仿宋_GB2312"/>
                <w:sz w:val="22"/>
                <w:szCs w:val="22"/>
                <w:lang w:val="en-US" w:eastAsia="zh-CN" w:bidi="ar-SA"/>
              </w:rPr>
              <w:t>9.已入甘孜州交通和城乡建设集团有限公司供应商库（材料供应库I类水泥库）。</w:t>
            </w:r>
          </w:p>
        </w:tc>
      </w:tr>
    </w:tbl>
    <w:p w14:paraId="75E2691B">
      <w:pPr>
        <w:rPr>
          <w:rFonts w:hint="eastAsia" w:ascii="仿宋_GB2312" w:hAnsi="仿宋_GB2312" w:eastAsia="仿宋_GB2312" w:cs="仿宋_GB2312"/>
        </w:rPr>
      </w:pPr>
    </w:p>
    <w:p w14:paraId="51E7A20B">
      <w:pPr>
        <w:pStyle w:val="15"/>
        <w:rPr>
          <w:rFonts w:hint="eastAsia" w:ascii="仿宋_GB2312" w:hAnsi="仿宋_GB2312" w:eastAsia="仿宋_GB2312" w:cs="仿宋_GB2312"/>
        </w:rPr>
        <w:sectPr>
          <w:pgSz w:w="16838" w:h="11906" w:orient="landscape"/>
          <w:pgMar w:top="1800" w:right="1440" w:bottom="1800" w:left="1440" w:header="851" w:footer="992" w:gutter="0"/>
          <w:pgNumType w:fmt="decimal"/>
          <w:cols w:space="720" w:num="1"/>
          <w:docGrid w:linePitch="312" w:charSpace="0"/>
        </w:sectPr>
      </w:pPr>
      <w:bookmarkStart w:id="90" w:name="_Toc440119208"/>
      <w:bookmarkStart w:id="91" w:name="_Toc440119743"/>
      <w:bookmarkStart w:id="92" w:name="_Toc440118710"/>
    </w:p>
    <w:p w14:paraId="77194DE8">
      <w:pPr>
        <w:wordWrap w:val="0"/>
        <w:ind w:righ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附表2：</w:t>
      </w:r>
      <w:bookmarkEnd w:id="90"/>
      <w:bookmarkEnd w:id="91"/>
      <w:bookmarkEnd w:id="92"/>
    </w:p>
    <w:p w14:paraId="61D9103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投 标 申 请 表</w:t>
      </w:r>
    </w:p>
    <w:p w14:paraId="22994B22">
      <w:pPr>
        <w:spacing w:line="440" w:lineRule="exact"/>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000000"/>
          <w:szCs w:val="21"/>
          <w:highlight w:val="none"/>
        </w:rPr>
        <w:t>招标编号</w:t>
      </w:r>
      <w:r>
        <w:rPr>
          <w:rFonts w:hint="eastAsia" w:ascii="仿宋_GB2312" w:hAnsi="仿宋_GB2312" w:eastAsia="仿宋_GB2312" w:cs="仿宋_GB2312"/>
          <w:bCs/>
          <w:color w:val="000000"/>
          <w:szCs w:val="21"/>
          <w:highlight w:val="none"/>
          <w:lang w:eastAsia="zh-CN"/>
        </w:rPr>
        <w:t>GYL/</w:t>
      </w:r>
      <w:r>
        <w:rPr>
          <w:rFonts w:hint="eastAsia" w:ascii="仿宋_GB2312" w:hAnsi="仿宋_GB2312" w:eastAsia="仿宋_GB2312" w:cs="仿宋_GB2312"/>
          <w:bCs/>
          <w:color w:val="000000"/>
          <w:szCs w:val="21"/>
          <w:highlight w:val="none"/>
          <w:lang w:val="en-US" w:eastAsia="zh-CN"/>
        </w:rPr>
        <w:t>CG</w:t>
      </w:r>
      <w:r>
        <w:rPr>
          <w:rFonts w:hint="eastAsia" w:ascii="仿宋_GB2312" w:hAnsi="仿宋_GB2312" w:eastAsia="仿宋_GB2312" w:cs="仿宋_GB2312"/>
          <w:bCs/>
          <w:color w:val="000000"/>
          <w:szCs w:val="21"/>
          <w:highlight w:val="none"/>
          <w:lang w:eastAsia="zh-CN"/>
        </w:rPr>
        <w:t>/202</w:t>
      </w:r>
      <w:r>
        <w:rPr>
          <w:rFonts w:hint="eastAsia" w:ascii="仿宋_GB2312" w:hAnsi="仿宋_GB2312" w:eastAsia="仿宋_GB2312" w:cs="仿宋_GB2312"/>
          <w:bCs/>
          <w:color w:val="000000"/>
          <w:szCs w:val="21"/>
          <w:highlight w:val="none"/>
          <w:lang w:val="en-US" w:eastAsia="zh-CN"/>
        </w:rPr>
        <w:t>5</w:t>
      </w:r>
      <w:r>
        <w:rPr>
          <w:rFonts w:hint="eastAsia" w:ascii="仿宋_GB2312" w:hAnsi="仿宋_GB2312" w:eastAsia="仿宋_GB2312" w:cs="仿宋_GB2312"/>
          <w:bCs/>
          <w:color w:val="000000"/>
          <w:szCs w:val="21"/>
          <w:highlight w:val="none"/>
          <w:lang w:eastAsia="zh-CN"/>
        </w:rPr>
        <w:t>/006</w:t>
      </w:r>
    </w:p>
    <w:tbl>
      <w:tblPr>
        <w:tblStyle w:val="11"/>
        <w:tblW w:w="0" w:type="auto"/>
        <w:jc w:val="center"/>
        <w:tblLayout w:type="fixed"/>
        <w:tblCellMar>
          <w:top w:w="0" w:type="dxa"/>
          <w:left w:w="108" w:type="dxa"/>
          <w:bottom w:w="0" w:type="dxa"/>
          <w:right w:w="108" w:type="dxa"/>
        </w:tblCellMar>
      </w:tblPr>
      <w:tblGrid>
        <w:gridCol w:w="2511"/>
        <w:gridCol w:w="3033"/>
        <w:gridCol w:w="1701"/>
        <w:gridCol w:w="2409"/>
      </w:tblGrid>
      <w:tr w14:paraId="08561B2E">
        <w:tblPrEx>
          <w:tblCellMar>
            <w:top w:w="0" w:type="dxa"/>
            <w:left w:w="108" w:type="dxa"/>
            <w:bottom w:w="0" w:type="dxa"/>
            <w:right w:w="108" w:type="dxa"/>
          </w:tblCellMar>
        </w:tblPrEx>
        <w:trPr>
          <w:trHeight w:val="645" w:hRule="atLeast"/>
          <w:jc w:val="center"/>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6FA52BB4">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14:paraId="4B800B36">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（填写单位名称）            （盖单位公章）</w:t>
            </w:r>
          </w:p>
        </w:tc>
      </w:tr>
      <w:tr w14:paraId="0EE00E20">
        <w:tblPrEx>
          <w:tblCellMar>
            <w:top w:w="0" w:type="dxa"/>
            <w:left w:w="108" w:type="dxa"/>
            <w:bottom w:w="0" w:type="dxa"/>
            <w:right w:w="108" w:type="dxa"/>
          </w:tblCellMar>
        </w:tblPrEx>
        <w:trPr>
          <w:trHeight w:val="503" w:hRule="atLeast"/>
          <w:jc w:val="center"/>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3509F763">
            <w:pPr>
              <w:wordWrap w:val="0"/>
              <w:rPr>
                <w:rFonts w:hint="eastAsia" w:ascii="仿宋_GB2312" w:hAnsi="仿宋_GB2312" w:eastAsia="仿宋_GB2312" w:cs="仿宋_GB2312"/>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14:paraId="22C8CD0F">
            <w:pPr>
              <w:wordWrap w:val="0"/>
              <w:rPr>
                <w:rFonts w:hint="eastAsia" w:ascii="仿宋_GB2312" w:hAnsi="仿宋_GB2312" w:eastAsia="仿宋_GB2312" w:cs="仿宋_GB2312"/>
                <w:szCs w:val="21"/>
              </w:rPr>
            </w:pPr>
          </w:p>
        </w:tc>
      </w:tr>
      <w:tr w14:paraId="21168B38">
        <w:tblPrEx>
          <w:tblCellMar>
            <w:top w:w="0" w:type="dxa"/>
            <w:left w:w="108" w:type="dxa"/>
            <w:bottom w:w="0" w:type="dxa"/>
            <w:right w:w="108" w:type="dxa"/>
          </w:tblCellMar>
        </w:tblPrEx>
        <w:trPr>
          <w:trHeight w:val="1020"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4C7A02E1">
            <w:pPr>
              <w:wordWrap w:val="0"/>
              <w:ind w:left="690" w:hanging="660" w:hangingChars="3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购买招标文件</w:t>
            </w:r>
          </w:p>
          <w:p w14:paraId="5FDE7F8D">
            <w:pPr>
              <w:wordWrap w:val="0"/>
              <w:ind w:left="660" w:leftChars="3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物资名称       </w:t>
            </w:r>
          </w:p>
        </w:tc>
        <w:tc>
          <w:tcPr>
            <w:tcW w:w="3033" w:type="dxa"/>
            <w:tcBorders>
              <w:top w:val="nil"/>
              <w:left w:val="nil"/>
              <w:bottom w:val="single" w:color="auto" w:sz="4" w:space="0"/>
              <w:right w:val="single" w:color="auto" w:sz="4" w:space="0"/>
            </w:tcBorders>
            <w:vAlign w:val="center"/>
          </w:tcPr>
          <w:p w14:paraId="2368BE43">
            <w:pPr>
              <w:jc w:val="center"/>
              <w:rPr>
                <w:rFonts w:hint="eastAsia" w:ascii="仿宋_GB2312" w:hAnsi="仿宋_GB2312" w:eastAsia="仿宋_GB2312" w:cs="仿宋_GB2312"/>
                <w:szCs w:val="21"/>
              </w:rPr>
            </w:pPr>
          </w:p>
          <w:p w14:paraId="0AF04687">
            <w:pPr>
              <w:wordWrap w:val="0"/>
              <w:jc w:val="center"/>
              <w:rPr>
                <w:rFonts w:hint="eastAsia" w:ascii="仿宋_GB2312" w:hAnsi="仿宋_GB2312" w:eastAsia="仿宋_GB2312" w:cs="仿宋_GB2312"/>
                <w:szCs w:val="21"/>
              </w:rPr>
            </w:pPr>
          </w:p>
        </w:tc>
        <w:tc>
          <w:tcPr>
            <w:tcW w:w="1701" w:type="dxa"/>
            <w:tcBorders>
              <w:top w:val="nil"/>
              <w:left w:val="nil"/>
              <w:bottom w:val="single" w:color="auto" w:sz="4" w:space="0"/>
              <w:right w:val="single" w:color="auto" w:sz="4" w:space="0"/>
            </w:tcBorders>
            <w:vAlign w:val="center"/>
          </w:tcPr>
          <w:p w14:paraId="2426AD12">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包 件 号</w:t>
            </w:r>
          </w:p>
        </w:tc>
        <w:tc>
          <w:tcPr>
            <w:tcW w:w="2409" w:type="dxa"/>
            <w:tcBorders>
              <w:top w:val="nil"/>
              <w:left w:val="nil"/>
              <w:bottom w:val="single" w:color="auto" w:sz="4" w:space="0"/>
              <w:right w:val="single" w:color="auto" w:sz="4" w:space="0"/>
            </w:tcBorders>
            <w:vAlign w:val="center"/>
          </w:tcPr>
          <w:p w14:paraId="7800751F">
            <w:pPr>
              <w:wordWrap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w:t>
            </w:r>
          </w:p>
        </w:tc>
      </w:tr>
      <w:tr w14:paraId="6722ADC7">
        <w:tblPrEx>
          <w:tblCellMar>
            <w:top w:w="0" w:type="dxa"/>
            <w:left w:w="108" w:type="dxa"/>
            <w:bottom w:w="0" w:type="dxa"/>
            <w:right w:w="108" w:type="dxa"/>
          </w:tblCellMar>
        </w:tblPrEx>
        <w:trPr>
          <w:trHeight w:val="840" w:hRule="atLeast"/>
          <w:jc w:val="center"/>
        </w:trPr>
        <w:tc>
          <w:tcPr>
            <w:tcW w:w="2511" w:type="dxa"/>
            <w:tcBorders>
              <w:top w:val="nil"/>
              <w:left w:val="single" w:color="auto" w:sz="4" w:space="0"/>
              <w:bottom w:val="single" w:color="auto" w:sz="4" w:space="0"/>
              <w:right w:val="single" w:color="auto" w:sz="4" w:space="0"/>
            </w:tcBorders>
            <w:vAlign w:val="center"/>
          </w:tcPr>
          <w:p w14:paraId="21982279">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3033" w:type="dxa"/>
            <w:tcBorders>
              <w:top w:val="single" w:color="auto" w:sz="4" w:space="0"/>
              <w:left w:val="nil"/>
              <w:bottom w:val="single" w:color="auto" w:sz="4" w:space="0"/>
              <w:right w:val="single" w:color="auto" w:sz="4" w:space="0"/>
            </w:tcBorders>
            <w:vAlign w:val="center"/>
          </w:tcPr>
          <w:p w14:paraId="37B84B15">
            <w:pPr>
              <w:wordWrap w:val="0"/>
              <w:jc w:val="center"/>
              <w:rPr>
                <w:rFonts w:hint="eastAsia" w:ascii="仿宋_GB2312" w:hAnsi="仿宋_GB2312" w:eastAsia="仿宋_GB2312" w:cs="仿宋_GB2312"/>
                <w:szCs w:val="21"/>
              </w:rPr>
            </w:pPr>
          </w:p>
        </w:tc>
        <w:tc>
          <w:tcPr>
            <w:tcW w:w="1701" w:type="dxa"/>
            <w:tcBorders>
              <w:top w:val="single" w:color="auto" w:sz="4" w:space="0"/>
              <w:left w:val="nil"/>
              <w:bottom w:val="single" w:color="auto" w:sz="4" w:space="0"/>
              <w:right w:val="single" w:color="auto" w:sz="4" w:space="0"/>
            </w:tcBorders>
            <w:vAlign w:val="center"/>
          </w:tcPr>
          <w:p w14:paraId="5472EACC">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手    机   </w:t>
            </w:r>
          </w:p>
        </w:tc>
        <w:tc>
          <w:tcPr>
            <w:tcW w:w="2409" w:type="dxa"/>
            <w:tcBorders>
              <w:top w:val="single" w:color="auto" w:sz="4" w:space="0"/>
              <w:left w:val="single" w:color="auto" w:sz="4" w:space="0"/>
              <w:bottom w:val="single" w:color="auto" w:sz="4" w:space="0"/>
              <w:right w:val="single" w:color="auto" w:sz="4" w:space="0"/>
            </w:tcBorders>
            <w:vAlign w:val="center"/>
          </w:tcPr>
          <w:p w14:paraId="08D8C2DF">
            <w:pPr>
              <w:wordWrap w:val="0"/>
              <w:jc w:val="center"/>
              <w:rPr>
                <w:rFonts w:hint="eastAsia" w:ascii="仿宋_GB2312" w:hAnsi="仿宋_GB2312" w:eastAsia="仿宋_GB2312" w:cs="仿宋_GB2312"/>
                <w:szCs w:val="21"/>
              </w:rPr>
            </w:pPr>
          </w:p>
        </w:tc>
      </w:tr>
      <w:tr w14:paraId="4A92AF54">
        <w:tblPrEx>
          <w:tblCellMar>
            <w:top w:w="0" w:type="dxa"/>
            <w:left w:w="108" w:type="dxa"/>
            <w:bottom w:w="0" w:type="dxa"/>
            <w:right w:w="108" w:type="dxa"/>
          </w:tblCellMar>
        </w:tblPrEx>
        <w:trPr>
          <w:trHeight w:val="840" w:hRule="atLeast"/>
          <w:jc w:val="center"/>
        </w:trPr>
        <w:tc>
          <w:tcPr>
            <w:tcW w:w="2511" w:type="dxa"/>
            <w:tcBorders>
              <w:top w:val="nil"/>
              <w:left w:val="single" w:color="auto" w:sz="4" w:space="0"/>
              <w:bottom w:val="single" w:color="auto" w:sz="4" w:space="0"/>
              <w:right w:val="single" w:color="auto" w:sz="4" w:space="0"/>
            </w:tcBorders>
            <w:vAlign w:val="center"/>
          </w:tcPr>
          <w:p w14:paraId="354B6A39">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办公电话</w:t>
            </w:r>
          </w:p>
        </w:tc>
        <w:tc>
          <w:tcPr>
            <w:tcW w:w="3033" w:type="dxa"/>
            <w:tcBorders>
              <w:top w:val="single" w:color="auto" w:sz="4" w:space="0"/>
              <w:left w:val="nil"/>
              <w:bottom w:val="single" w:color="auto" w:sz="4" w:space="0"/>
              <w:right w:val="single" w:color="auto" w:sz="4" w:space="0"/>
            </w:tcBorders>
            <w:vAlign w:val="center"/>
          </w:tcPr>
          <w:p w14:paraId="7B138638">
            <w:pPr>
              <w:wordWrap w:val="0"/>
              <w:rPr>
                <w:rFonts w:hint="eastAsia" w:ascii="仿宋_GB2312" w:hAnsi="仿宋_GB2312" w:eastAsia="仿宋_GB2312" w:cs="仿宋_GB2312"/>
                <w:szCs w:val="21"/>
              </w:rPr>
            </w:pPr>
          </w:p>
        </w:tc>
        <w:tc>
          <w:tcPr>
            <w:tcW w:w="1701" w:type="dxa"/>
            <w:tcBorders>
              <w:top w:val="single" w:color="auto" w:sz="4" w:space="0"/>
              <w:left w:val="nil"/>
              <w:bottom w:val="single" w:color="auto" w:sz="4" w:space="0"/>
              <w:right w:val="single" w:color="auto" w:sz="4" w:space="0"/>
            </w:tcBorders>
            <w:vAlign w:val="center"/>
          </w:tcPr>
          <w:p w14:paraId="7E2478C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办公传真</w:t>
            </w:r>
          </w:p>
        </w:tc>
        <w:tc>
          <w:tcPr>
            <w:tcW w:w="2409" w:type="dxa"/>
            <w:tcBorders>
              <w:top w:val="single" w:color="auto" w:sz="4" w:space="0"/>
              <w:left w:val="nil"/>
              <w:bottom w:val="single" w:color="auto" w:sz="4" w:space="0"/>
              <w:right w:val="single" w:color="auto" w:sz="4" w:space="0"/>
            </w:tcBorders>
            <w:vAlign w:val="center"/>
          </w:tcPr>
          <w:p w14:paraId="4ED112C5">
            <w:pPr>
              <w:wordWrap w:val="0"/>
              <w:rPr>
                <w:rFonts w:hint="eastAsia" w:ascii="仿宋_GB2312" w:hAnsi="仿宋_GB2312" w:eastAsia="仿宋_GB2312" w:cs="仿宋_GB2312"/>
                <w:szCs w:val="21"/>
              </w:rPr>
            </w:pPr>
          </w:p>
        </w:tc>
      </w:tr>
      <w:tr w14:paraId="0BA52B56">
        <w:tblPrEx>
          <w:tblCellMar>
            <w:top w:w="0" w:type="dxa"/>
            <w:left w:w="108" w:type="dxa"/>
            <w:bottom w:w="0" w:type="dxa"/>
            <w:right w:w="108" w:type="dxa"/>
          </w:tblCellMar>
        </w:tblPrEx>
        <w:trPr>
          <w:trHeight w:val="928" w:hRule="atLeast"/>
          <w:jc w:val="center"/>
        </w:trPr>
        <w:tc>
          <w:tcPr>
            <w:tcW w:w="2511" w:type="dxa"/>
            <w:tcBorders>
              <w:top w:val="nil"/>
              <w:left w:val="single" w:color="auto" w:sz="4" w:space="0"/>
              <w:bottom w:val="single" w:color="auto" w:sz="4" w:space="0"/>
              <w:right w:val="single" w:color="auto" w:sz="4" w:space="0"/>
            </w:tcBorders>
            <w:vAlign w:val="center"/>
          </w:tcPr>
          <w:p w14:paraId="16043D65">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3033" w:type="dxa"/>
            <w:tcBorders>
              <w:top w:val="single" w:color="auto" w:sz="4" w:space="0"/>
              <w:left w:val="nil"/>
              <w:bottom w:val="single" w:color="auto" w:sz="4" w:space="0"/>
              <w:right w:val="single" w:color="auto" w:sz="4" w:space="0"/>
            </w:tcBorders>
            <w:vAlign w:val="center"/>
          </w:tcPr>
          <w:p w14:paraId="08DBE46B">
            <w:pPr>
              <w:wordWrap w:val="0"/>
              <w:jc w:val="center"/>
              <w:rPr>
                <w:rFonts w:hint="eastAsia" w:ascii="仿宋_GB2312" w:hAnsi="仿宋_GB2312" w:eastAsia="仿宋_GB2312" w:cs="仿宋_GB2312"/>
                <w:szCs w:val="21"/>
              </w:rPr>
            </w:pPr>
          </w:p>
        </w:tc>
        <w:tc>
          <w:tcPr>
            <w:tcW w:w="1701" w:type="dxa"/>
            <w:tcBorders>
              <w:top w:val="single" w:color="auto" w:sz="4" w:space="0"/>
              <w:left w:val="nil"/>
              <w:bottom w:val="single" w:color="auto" w:sz="4" w:space="0"/>
              <w:right w:val="single" w:color="auto" w:sz="4" w:space="0"/>
            </w:tcBorders>
            <w:vAlign w:val="center"/>
          </w:tcPr>
          <w:p w14:paraId="2C0E695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邮     编</w:t>
            </w:r>
          </w:p>
        </w:tc>
        <w:tc>
          <w:tcPr>
            <w:tcW w:w="2409" w:type="dxa"/>
            <w:tcBorders>
              <w:top w:val="single" w:color="auto" w:sz="4" w:space="0"/>
              <w:left w:val="nil"/>
              <w:bottom w:val="single" w:color="auto" w:sz="4" w:space="0"/>
              <w:right w:val="single" w:color="auto" w:sz="4" w:space="0"/>
            </w:tcBorders>
            <w:vAlign w:val="center"/>
          </w:tcPr>
          <w:p w14:paraId="53B6A787">
            <w:pPr>
              <w:wordWrap w:val="0"/>
              <w:jc w:val="center"/>
              <w:rPr>
                <w:rFonts w:hint="eastAsia" w:ascii="仿宋_GB2312" w:hAnsi="仿宋_GB2312" w:eastAsia="仿宋_GB2312" w:cs="仿宋_GB2312"/>
                <w:szCs w:val="21"/>
              </w:rPr>
            </w:pPr>
          </w:p>
        </w:tc>
      </w:tr>
      <w:tr w14:paraId="054A1AC7">
        <w:tblPrEx>
          <w:tblCellMar>
            <w:top w:w="0" w:type="dxa"/>
            <w:left w:w="108" w:type="dxa"/>
            <w:bottom w:w="0" w:type="dxa"/>
            <w:right w:w="108" w:type="dxa"/>
          </w:tblCellMar>
        </w:tblPrEx>
        <w:trPr>
          <w:trHeight w:val="870"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74504213">
            <w:pPr>
              <w:wordWrap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邮寄地址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14:paraId="399C1368">
            <w:pPr>
              <w:wordWrap w:val="0"/>
              <w:rPr>
                <w:rFonts w:hint="eastAsia" w:ascii="仿宋_GB2312" w:hAnsi="仿宋_GB2312" w:eastAsia="仿宋_GB2312" w:cs="仿宋_GB2312"/>
                <w:szCs w:val="21"/>
              </w:rPr>
            </w:pPr>
          </w:p>
        </w:tc>
      </w:tr>
      <w:tr w14:paraId="15E6E52A">
        <w:tblPrEx>
          <w:tblCellMar>
            <w:top w:w="0" w:type="dxa"/>
            <w:left w:w="108" w:type="dxa"/>
            <w:bottom w:w="0" w:type="dxa"/>
            <w:right w:w="108" w:type="dxa"/>
          </w:tblCellMar>
        </w:tblPrEx>
        <w:trPr>
          <w:trHeight w:val="1182"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325DE0C0">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声明</w:t>
            </w:r>
          </w:p>
        </w:tc>
        <w:tc>
          <w:tcPr>
            <w:tcW w:w="7143" w:type="dxa"/>
            <w:gridSpan w:val="3"/>
            <w:tcBorders>
              <w:top w:val="single" w:color="auto" w:sz="4" w:space="0"/>
              <w:left w:val="nil"/>
              <w:bottom w:val="single" w:color="auto" w:sz="4" w:space="0"/>
              <w:right w:val="single" w:color="000000" w:sz="4" w:space="0"/>
            </w:tcBorders>
            <w:vAlign w:val="center"/>
          </w:tcPr>
          <w:p w14:paraId="6E2301DF">
            <w:pPr>
              <w:wordWrap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招标文件为我公司自愿购买，如我公司资格条件不符合本项目投标人资格要求，相关责任由我公司自行承担。</w:t>
            </w:r>
          </w:p>
        </w:tc>
      </w:tr>
      <w:tr w14:paraId="21AB5A38">
        <w:tblPrEx>
          <w:tblCellMar>
            <w:top w:w="0" w:type="dxa"/>
            <w:left w:w="108" w:type="dxa"/>
            <w:bottom w:w="0" w:type="dxa"/>
            <w:right w:w="108" w:type="dxa"/>
          </w:tblCellMar>
        </w:tblPrEx>
        <w:trPr>
          <w:trHeight w:val="1019"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0D5EA2F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购买人签字</w:t>
            </w:r>
          </w:p>
        </w:tc>
        <w:tc>
          <w:tcPr>
            <w:tcW w:w="7143" w:type="dxa"/>
            <w:gridSpan w:val="3"/>
            <w:tcBorders>
              <w:top w:val="single" w:color="auto" w:sz="4" w:space="0"/>
              <w:left w:val="nil"/>
              <w:bottom w:val="single" w:color="auto" w:sz="4" w:space="0"/>
              <w:right w:val="single" w:color="000000" w:sz="4" w:space="0"/>
            </w:tcBorders>
            <w:vAlign w:val="center"/>
          </w:tcPr>
          <w:p w14:paraId="655D45DD">
            <w:pPr>
              <w:wordWrap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0CCD996E">
            <w:pPr>
              <w:wordWrap w:val="0"/>
              <w:ind w:firstLine="440" w:firstLineChars="200"/>
              <w:jc w:val="righ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14:paraId="400C9549">
        <w:tblPrEx>
          <w:tblCellMar>
            <w:top w:w="0" w:type="dxa"/>
            <w:left w:w="108" w:type="dxa"/>
            <w:bottom w:w="0" w:type="dxa"/>
            <w:right w:w="108" w:type="dxa"/>
          </w:tblCellMar>
        </w:tblPrEx>
        <w:trPr>
          <w:trHeight w:val="715"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14:paraId="6560437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备   注</w:t>
            </w:r>
          </w:p>
        </w:tc>
        <w:tc>
          <w:tcPr>
            <w:tcW w:w="7143" w:type="dxa"/>
            <w:gridSpan w:val="3"/>
            <w:tcBorders>
              <w:top w:val="single" w:color="auto" w:sz="4" w:space="0"/>
              <w:left w:val="nil"/>
              <w:bottom w:val="single" w:color="auto" w:sz="4" w:space="0"/>
              <w:right w:val="single" w:color="000000" w:sz="4" w:space="0"/>
            </w:tcBorders>
            <w:vAlign w:val="center"/>
          </w:tcPr>
          <w:p w14:paraId="0F4D5D9C">
            <w:pPr>
              <w:wordWrap w:val="0"/>
              <w:rPr>
                <w:rFonts w:hint="eastAsia" w:ascii="仿宋_GB2312" w:hAnsi="仿宋_GB2312" w:eastAsia="仿宋_GB2312" w:cs="仿宋_GB2312"/>
                <w:szCs w:val="21"/>
              </w:rPr>
            </w:pPr>
          </w:p>
        </w:tc>
      </w:tr>
    </w:tbl>
    <w:p w14:paraId="1C12587B">
      <w:pPr>
        <w:rPr>
          <w:rFonts w:hint="eastAsia" w:ascii="仿宋_GB2312" w:hAnsi="仿宋_GB2312" w:eastAsia="仿宋_GB2312" w:cs="仿宋_GB2312"/>
        </w:rPr>
      </w:pPr>
      <w:r>
        <w:rPr>
          <w:rFonts w:hint="eastAsia" w:ascii="仿宋_GB2312" w:hAnsi="仿宋_GB2312" w:eastAsia="仿宋_GB2312" w:cs="仿宋_GB2312"/>
          <w:szCs w:val="21"/>
        </w:rPr>
        <w:t xml:space="preserve">说明：此表购买招标文件申请人需按招标人、物资品种分别填写；同一招标人、同一物资品种可填写一份。             </w:t>
      </w:r>
    </w:p>
    <w:p w14:paraId="2886FCA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HP Simplified">
    <w:altName w:val="Segoe Print"/>
    <w:panose1 w:val="020B0606020204020204"/>
    <w:charset w:val="00"/>
    <w:family w:val="auto"/>
    <w:pitch w:val="default"/>
    <w:sig w:usb0="00000000" w:usb1="00000000" w:usb2="00000000" w:usb3="00000000" w:csb0="20000093"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BCCDC">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2E6E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72E6E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0117">
    <w:pPr>
      <w:pStyle w:val="8"/>
      <w:framePr w:wrap="around" w:vAnchor="text" w:hAnchor="margin" w:xAlign="right" w:y="2"/>
      <w:rPr>
        <w:rStyle w:val="13"/>
      </w:rPr>
    </w:pPr>
    <w:r>
      <w:fldChar w:fldCharType="begin"/>
    </w:r>
    <w:r>
      <w:rPr>
        <w:rStyle w:val="13"/>
      </w:rPr>
      <w:instrText xml:space="preserve">PAGE  </w:instrText>
    </w:r>
    <w:r>
      <w:fldChar w:fldCharType="separate"/>
    </w:r>
    <w:r>
      <w:rPr>
        <w:rStyle w:val="13"/>
      </w:rPr>
      <w:t>vii</w:t>
    </w:r>
    <w:r>
      <w:fldChar w:fldCharType="end"/>
    </w:r>
  </w:p>
  <w:p w14:paraId="5A001FE0">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9D4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85AB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85AB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EC7C">
    <w:pPr>
      <w:pBdr>
        <w:bottom w:val="single" w:color="auto" w:sz="6" w:space="1"/>
      </w:pBdr>
      <w:tabs>
        <w:tab w:val="center" w:pos="4153"/>
        <w:tab w:val="right" w:pos="8306"/>
      </w:tab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9A1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B8A6">
    <w:pPr>
      <w:pBdr>
        <w:bottom w:val="single" w:color="auto" w:sz="6" w:space="1"/>
      </w:pBdr>
      <w:tabs>
        <w:tab w:val="center" w:pos="4153"/>
        <w:tab w:val="right" w:pos="8306"/>
      </w:tabs>
      <w:snapToGrid w:val="0"/>
      <w:jc w:val="center"/>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F4C47"/>
    <w:rsid w:val="0D747B9F"/>
    <w:rsid w:val="4A4A6E21"/>
    <w:rsid w:val="689F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等线" w:hAnsi="等线" w:eastAsia="等线" w:cs="Times New Roman"/>
      <w:sz w:val="22"/>
      <w:szCs w:val="22"/>
      <w:lang w:val="en-US" w:eastAsia="zh-CN" w:bidi="ar-SA"/>
    </w:rPr>
  </w:style>
  <w:style w:type="paragraph" w:styleId="3">
    <w:name w:val="heading 1"/>
    <w:basedOn w:val="1"/>
    <w:next w:val="1"/>
    <w:qFormat/>
    <w:uiPriority w:val="9"/>
    <w:pPr>
      <w:keepNext/>
      <w:keepLines/>
      <w:spacing w:before="240"/>
      <w:outlineLvl w:val="0"/>
    </w:pPr>
    <w:rPr>
      <w:rFonts w:ascii="Calibri Light" w:hAnsi="Calibri Light" w:eastAsia="宋体"/>
      <w:color w:val="2E74B5"/>
      <w:sz w:val="32"/>
      <w:szCs w:val="32"/>
    </w:rPr>
  </w:style>
  <w:style w:type="paragraph" w:styleId="4">
    <w:name w:val="heading 2"/>
    <w:basedOn w:val="1"/>
    <w:next w:val="1"/>
    <w:unhideWhenUsed/>
    <w:qFormat/>
    <w:uiPriority w:val="9"/>
    <w:pPr>
      <w:keepNext/>
      <w:keepLines/>
      <w:spacing w:before="40"/>
      <w:outlineLvl w:val="1"/>
    </w:pPr>
    <w:rPr>
      <w:rFonts w:ascii="Calibri Light" w:hAnsi="Calibri Light" w:eastAsia="宋体"/>
      <w:color w:val="2E74B5"/>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rPr>
  </w:style>
  <w:style w:type="paragraph" w:styleId="5">
    <w:name w:val="index 5"/>
    <w:basedOn w:val="1"/>
    <w:next w:val="1"/>
    <w:qFormat/>
    <w:uiPriority w:val="0"/>
    <w:pPr>
      <w:ind w:left="1680"/>
    </w:pPr>
  </w:style>
  <w:style w:type="paragraph" w:styleId="6">
    <w:name w:val="Body Text"/>
    <w:basedOn w:val="1"/>
    <w:qFormat/>
    <w:uiPriority w:val="0"/>
    <w:pPr>
      <w:spacing w:after="120"/>
    </w:pPr>
    <w:rPr>
      <w:sz w:val="20"/>
    </w:rPr>
  </w:style>
  <w:style w:type="paragraph" w:styleId="7">
    <w:name w:val="Body Text Indent"/>
    <w:basedOn w:val="1"/>
    <w:qFormat/>
    <w:uiPriority w:val="0"/>
    <w:pPr>
      <w:spacing w:after="120"/>
      <w:ind w:left="420" w:leftChars="200"/>
    </w:pPr>
    <w:rPr>
      <w:rFonts w:ascii="Times New Roman" w:hAnsi="Times New Roman"/>
      <w:szCs w:val="20"/>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qFormat/>
    <w:uiPriority w:val="0"/>
    <w:pPr>
      <w:spacing w:line="276" w:lineRule="auto"/>
      <w:ind w:firstLine="420"/>
    </w:pPr>
    <w:rPr>
      <w:sz w:val="22"/>
      <w:lang w:eastAsia="en-US"/>
    </w:rPr>
  </w:style>
  <w:style w:type="character" w:styleId="13">
    <w:name w:val="page number"/>
    <w:qFormat/>
    <w:uiPriority w:val="0"/>
  </w:style>
  <w:style w:type="paragraph" w:customStyle="1" w:styleId="14">
    <w:name w:val="样式 标题 2 + Times New Roman 四号 非加粗 段前: 5 磅 段后: 0 磅 行距: 固定值 20..."/>
    <w:basedOn w:val="4"/>
    <w:qFormat/>
    <w:uiPriority w:val="0"/>
    <w:pPr>
      <w:spacing w:before="100" w:line="400" w:lineRule="exact"/>
    </w:pPr>
    <w:rPr>
      <w:rFonts w:ascii="Times New Roman" w:hAnsi="Times New Roman" w:cs="宋体"/>
      <w:szCs w:val="20"/>
    </w:rPr>
  </w:style>
  <w:style w:type="paragraph" w:customStyle="1" w:styleId="15">
    <w:name w:val="Default"/>
    <w:basedOn w:val="2"/>
    <w:next w:val="5"/>
    <w:qFormat/>
    <w:uiPriority w:val="0"/>
    <w:pPr>
      <w:widowControl w:val="0"/>
      <w:autoSpaceDE w:val="0"/>
      <w:autoSpaceDN w:val="0"/>
      <w:adjustRightInd w:val="0"/>
      <w:spacing w:after="160" w:line="259" w:lineRule="auto"/>
    </w:pPr>
    <w:rPr>
      <w:rFonts w:ascii="HP Simplified" w:hAnsi="等线" w:eastAsia="HP Simplified" w:cs="HP Simplified"/>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2343</Words>
  <Characters>2649</Characters>
  <Lines>0</Lines>
  <Paragraphs>0</Paragraphs>
  <TotalTime>1</TotalTime>
  <ScaleCrop>false</ScaleCrop>
  <LinksUpToDate>false</LinksUpToDate>
  <CharactersWithSpaces>2793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2025-09-28T01:28:00Z</dcterms:created>
  <dc:creator>尚金金</dc:creator>
  <cp:lastModifiedBy>邱兴伟</cp:lastModifiedBy>
  <dcterms:modified xsi:type="dcterms:W3CDTF">2025-09-29T01:47:56Z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2EAEF4A3A0FB4272A152F96DA6C9B041_13</vt:lpwstr>
  </property>
  <property fmtid="{D5CDD505-2E9C-101B-9397-08002B2CF9AE}" pid="4" name="KSOTemplateDocerSaveRecord">
    <vt:lpwstr>eyJoZGlkIjoiMjNmMjQxNTg0YTQyMzg5MDNhOTNkNGRjMzRmOWM4MDQiLCJ1c2VySWQiOiIxNjU1NzUyMTAyIn0=</vt:lpwstr>
  </property>
</Properties>
</file>