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部分  比选申请文件格式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color w:val="000000"/>
          <w:kern w:val="0"/>
          <w:sz w:val="44"/>
          <w:szCs w:val="44"/>
          <w:highlight w:val="none"/>
        </w:rPr>
        <w:t>国道318沿线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新都桥、竹巴龙、八角楼服务区新建加油站方案设计、初步设计、施工图设计、安全专篇编制服务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color w:val="000000"/>
          <w:kern w:val="0"/>
          <w:sz w:val="44"/>
          <w:szCs w:val="44"/>
          <w:highlight w:val="none"/>
          <w:lang w:val="en-US" w:eastAsia="zh-CN"/>
        </w:rPr>
        <w:t>单位选取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b/>
          <w:color w:val="00000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b/>
          <w:color w:val="00000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b/>
          <w:color w:val="00000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 xml:space="preserve"> 请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</w:rPr>
        <w:t>文  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宋体" w:hAnsi="宋体"/>
          <w:color w:val="000000"/>
          <w:szCs w:val="21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宋体" w:hAnsi="宋体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宋体" w:hAnsi="宋体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比选申请人：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（盖单位章）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 xml:space="preserve"> 法定代表人/负责人或其委托代理人：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（签字）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目  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（自行编制）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189"/>
        </w:tabs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  <w:t>报 价 函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（比选人名称）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在研究了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后，我方愿意以人民币（大写）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拾（亿）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仟（万）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佰（万）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拾（万）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元（¥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）的投标总报价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新都桥服务区新建加油站方案设计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、初步设计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、施工图设计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、安全专篇编制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；</w:t>
      </w:r>
      <w:r>
        <w:rPr>
          <w:rFonts w:hint="eastAsia" w:ascii="仿宋_GB2312" w:hAnsi="仿宋_GB2312" w:eastAsia="仿宋_GB2312" w:cs="仿宋_GB2312"/>
          <w:sz w:val="32"/>
          <w:szCs w:val="32"/>
        </w:rPr>
        <w:t>竹巴龙服务区新建加油站方案设计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、初步设计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、施工图设计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、安全专篇编制服务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八角楼服务区新建加油站方案设计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、初步设计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、施工图设计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、安全专篇编制服务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，与贵公司签订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新都桥、竹巴龙、八角楼服务区新建加油站方案设计、初步设计、施工图设计、安全专篇编制服务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，工作周期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要求完成上述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二、我方对贵单位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文件的内容已明了，并完全同意。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三、一旦我方被确定为中标单位，我方将按照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文件的要求并在约定时限内完成贵单位所委托的相关工作。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四、我方承诺，若我方未能按照合同要求的工期完成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委托的相关工作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，我方愿意接受本合同条款约定的处罚。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五、我方完全同意自行承担为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所发生的一切费用。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知道并同意：如果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后未按贵公司要求的时间签定</w:t>
      </w:r>
      <w:r>
        <w:rPr>
          <w:rFonts w:hint="eastAsia" w:ascii="仿宋_GB2312" w:hAnsi="仿宋_GB2312" w:eastAsia="仿宋_GB2312" w:cs="仿宋_GB2312"/>
          <w:sz w:val="32"/>
          <w:szCs w:val="32"/>
        </w:rPr>
        <w:t>新都桥、竹巴龙、八角楼服务区新建加油站方案设计、初步设计、施工图设计、安全专篇编制服务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或坚持提出附加条件，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贵公司有权选择其他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中选人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除非另外达成协议并生效，你方的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通知书和我方的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文件将构成约束我们双方的合同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郑重承诺：最近三年内无仲裁或诉讼介入情况，没有被有关部门明文规定市场禁入。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知道并同意，贵公司保留“拒绝或接受任何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文件、取消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和废除全部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文件的权利，并且将不对其上述行为承担责任，亦无义务解释原因”。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郑重承诺：若我方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，我方承诺按贵公司要求做好后期服务。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人：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（盖单位公章）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法定代表人或其授权委托代理人：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法定代表人身份证明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00" w:firstLineChars="37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名称：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单位性质：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地    址：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成立时间：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经营期限：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性别：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职务：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)的法定代表人。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特此证明。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附：法定代表人身份证复印件（加盖单位公章）。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注：（1）法定代表人亲自投标而不委托代理人投标适用。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比选申请人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(盖单位公章)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法定代表人授权书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（姓名）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名称）的法定代表人，现授权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（姓名）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为我单位委托代理人，以本单位的名义参加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活动。委托代理人在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活动和评比、谈判以及处理与之有关的一切事务，我及我单位均予以承认，并全部承担其产生的所有权利和义务。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委托代理人无转委托权。特此委托。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授权人（法定代表人）：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（签字）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（签字）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手机：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单位电话：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传真：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>（全称并加盖企业法人公章）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  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附法定代表人及委托代理人身份证复印件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</w:rPr>
        <w:t>在此页后面附法定代表人及委托代理人身份证复印件。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48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</w:rPr>
        <w:t>的法定代表人直接参加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highlight w:val="none"/>
        </w:rPr>
        <w:t>活动的，不需要提供授权书。</w:t>
      </w:r>
    </w:p>
    <w:p>
      <w:pPr>
        <w:pageBreakBefore w:val="0"/>
        <w:numPr>
          <w:ilvl w:val="0"/>
          <w:numId w:val="0"/>
        </w:numPr>
        <w:kinsoku/>
        <w:overflowPunct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资格审查资料</w:t>
      </w:r>
    </w:p>
    <w:p>
      <w:pPr>
        <w:pStyle w:val="2"/>
        <w:rPr>
          <w:rFonts w:hint="eastAsia"/>
        </w:rPr>
      </w:pPr>
    </w:p>
    <w:p>
      <w:pPr>
        <w:pStyle w:val="8"/>
        <w:pageBreakBefore w:val="0"/>
        <w:kinsoku/>
        <w:overflowPunct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lang w:val="en-US" w:eastAsia="zh-CN"/>
        </w:rPr>
        <w:t>比选申请人总体情况一览表</w:t>
      </w:r>
    </w:p>
    <w:tbl>
      <w:tblPr>
        <w:tblStyle w:val="9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901"/>
        <w:gridCol w:w="1029"/>
        <w:gridCol w:w="1293"/>
        <w:gridCol w:w="415"/>
        <w:gridCol w:w="876"/>
        <w:gridCol w:w="831"/>
        <w:gridCol w:w="28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电 话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传  真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技术负责人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0" w:beforeAutospacing="0" w:after="0" w:afterAutospacing="0" w:line="560" w:lineRule="exact"/>
              <w:ind w:firstLine="120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营业执照号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其中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高级职称人员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成立日期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中级职称人员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基本账户开户银行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技术人员数量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基本账户银行账号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各类注册人员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before="100" w:beforeAutospacing="1" w:after="100" w:afterAutospacing="1" w:line="560" w:lineRule="exact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注：在本表后应附注：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人应附企业法人营业执照组织机构代码证（按照“三证合一”或“五证合一”登记制度进行登记的，可仅提供营业执照，下同）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资质证书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复印件应提供全本（证书封面、封底、空白页除外），应包括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人名称、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人其他相关信息、颁发机构名称、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人信息变更情况等关键页在内，并逐页加盖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人单位章。</w:t>
      </w:r>
    </w:p>
    <w:p>
      <w:pPr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pStyle w:val="2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pStyle w:val="2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pStyle w:val="2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</w:p>
    <w:p>
      <w:pPr>
        <w:pStyle w:val="2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pageBreakBefore w:val="0"/>
        <w:kinsoku/>
        <w:overflowPunct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真实性承诺书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（比选人名称）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关于开展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新都桥、竹巴龙、八角楼服务区新建加油站方案设计、初步设计、施工图设计、安全专篇编制服务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单位选取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比选公告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》知悉。经认真研究，我们决定参加此次竞标。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保证在提交申请书近三年内无违法违纪行为，无不良行为记录，信誉良好。此次参与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新都桥、竹巴龙、八角楼服务区新建加油站方案设计、初步设计、施工图设计、安全专篇编制服务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选取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公开比选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的竞标文件中所有关于资格的文件、证明、陈述均是真实的、准确的。如在比选过程中发现有重大违法违纪记录，或者竞标文件存在弄虚作假等行为，将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放弃竞标或者中标资格，并承担由此产生的一切后果。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（全称）：        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法定代表人或授权代表：             （签字或盖章）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单位地址：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电话（手机）：              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日期：    年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-20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-2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近年完成的类似业绩情况表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8894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6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757" w:right="-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   号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8" w:line="1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757" w:right="-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在地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1" w:line="17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合同价款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ind w:right="-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开展的具体内容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6" w:line="17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757" w:right="-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述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19" w:line="2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hd w:val="clear" w:color="auto" w:fill="FFFFFF"/>
              <w:ind w:left="930" w:right="9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position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注：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格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只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填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写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个项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序</w:t>
      </w:r>
      <w:r>
        <w:rPr>
          <w:rFonts w:hint="eastAsia" w:ascii="仿宋_GB2312" w:hAnsi="仿宋_GB2312" w:eastAsia="仿宋_GB2312" w:cs="仿宋_GB2312"/>
          <w:spacing w:val="-2"/>
          <w:position w:val="-1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position w:val="-1"/>
          <w:sz w:val="32"/>
          <w:szCs w:val="32"/>
        </w:rPr>
        <w:t>需提供合同复印件并加盖单位鲜章。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</w:rPr>
        <w:t>构发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变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变</w:t>
      </w:r>
      <w:r>
        <w:rPr>
          <w:rFonts w:hint="eastAsia" w:ascii="仿宋_GB2312" w:hAnsi="仿宋_GB2312" w:eastAsia="仿宋_GB2312" w:cs="仿宋_GB2312"/>
          <w:sz w:val="32"/>
          <w:szCs w:val="32"/>
        </w:rPr>
        <w:t>更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材</w:t>
      </w:r>
      <w:r>
        <w:rPr>
          <w:rFonts w:hint="eastAsia" w:ascii="仿宋_GB2312" w:hAnsi="仿宋_GB2312" w:eastAsia="仿宋_GB2312" w:cs="仿宋_GB2312"/>
          <w:sz w:val="32"/>
          <w:szCs w:val="32"/>
        </w:rPr>
        <w:t>料来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绩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继</w:t>
      </w:r>
      <w:r>
        <w:rPr>
          <w:rFonts w:hint="eastAsia" w:ascii="仿宋_GB2312" w:hAnsi="仿宋_GB2312" w:eastAsia="仿宋_GB2312" w:cs="仿宋_GB2312"/>
          <w:sz w:val="32"/>
          <w:szCs w:val="32"/>
        </w:rPr>
        <w:t>承性。</w:t>
      </w: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工作方案（格式自拟）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加油站方案设计、初步设计、施工图设计、安全专篇编制案例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对加油站方案设计、初步设计、施工图设计、安全专篇编制的认识及分析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加油站方案设计、初步设计、施工图设计、安全专篇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编制大纲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项目进度计划及组织措施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5.团队配置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注：包括但不限于以上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autoSpaceDE/>
        <w:autoSpaceDN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其他资料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1.参选单位在</w:t>
      </w:r>
      <w:r>
        <w:rPr>
          <w:rFonts w:hint="eastAsia" w:ascii="仿宋_GB2312" w:hAnsi="仿宋_GB2312" w:eastAsia="仿宋_GB2312" w:cs="仿宋_GB2312"/>
          <w:sz w:val="32"/>
          <w:szCs w:val="32"/>
        </w:rPr>
        <w:t>加油站方案设计、初步设计、施工图设计、安全专篇编制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方面具备相应经验，并获得相关奖项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（需提供奖章图文资料并加盖单位鲜章。）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2.其他资料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</w:rPr>
        <w:t>包括证明、证件、扫描件等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若前面已经提供，可忽略此项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200" w:firstLineChars="375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pgSz w:w="11906" w:h="16838"/>
          <w:pgMar w:top="1191" w:right="1134" w:bottom="1134" w:left="1191" w:header="851" w:footer="992" w:gutter="0"/>
          <w:cols w:space="720" w:num="1"/>
          <w:docGrid w:linePitch="312" w:charSpace="0"/>
        </w:sectPr>
      </w:pPr>
    </w:p>
    <w:p>
      <w:pPr>
        <w:pStyle w:val="4"/>
        <w:pageBreakBefore w:val="0"/>
        <w:kinsoku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封面格式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4285" w:type="dxa"/>
            <w:noWrap w:val="0"/>
            <w:vAlign w:val="top"/>
          </w:tcPr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  <w:t>比选申请文件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  <w:t>（正本）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项目名称：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比选申请人名称（公章）：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地址：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  <w:t>比选申请文件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  <w:t>（副本）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项目名称：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比选申请人名称（公章）：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6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  <w:t>封口格式</w:t>
            </w:r>
          </w:p>
          <w:p>
            <w:pPr>
              <w:pStyle w:val="5"/>
              <w:pageBreakBefore w:val="0"/>
              <w:kinsoku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……………于   年  月  日   时之前不准启封（公章）……………</w:t>
            </w:r>
          </w:p>
        </w:tc>
      </w:tr>
    </w:tbl>
    <w:p>
      <w:pPr>
        <w:pStyle w:val="6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A6BCE"/>
    <w:rsid w:val="59D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First Indent 2"/>
    <w:basedOn w:val="5"/>
    <w:next w:val="1"/>
    <w:qFormat/>
    <w:uiPriority w:val="0"/>
    <w:pPr>
      <w:ind w:firstLine="420"/>
    </w:pPr>
    <w:rPr>
      <w:rFonts w:eastAsia="仿宋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2024-05-27T03:04:00Z</dcterms:created>
  <dc:creator>童  梅</dc:creator>
  <cp:lastModifiedBy>童  梅</cp:lastModifiedBy>
  <dcterms:modified xsi:type="dcterms:W3CDTF">2024-05-27T03:07:52Z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